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6b78c405eda14a55"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3082"/>
        <w:gridCol w:w="3561"/>
        <w:gridCol w:w="1964"/>
        <w:gridCol w:w="1605"/>
      </w:tblGrid>
      <w:tr w:rsidR="00A7314A" w14:paraId="7AD37B6D" w14:textId="77777777" w:rsidTr="0014178B">
        <w:trPr>
          <w:trHeight w:val="1487"/>
        </w:trPr>
        <w:tc>
          <w:tcPr>
            <w:tcW w:w="8607" w:type="dxa"/>
            <w:gridSpan w:val="3"/>
          </w:tcPr>
          <w:p w14:paraId="65496362" w14:textId="72CA1A91" w:rsidR="00A7314A" w:rsidRDefault="00435A47" w:rsidP="00065C5C">
            <w:pPr>
              <w:spacing w:after="10" w:line="240" w:lineRule="exact"/>
              <w:ind w:left="-57" w:right="-57"/>
              <w:rPr>
                <w:b/>
                <w:bCs/>
              </w:rPr>
            </w:pPr>
            <w:r>
              <w:rPr>
                <w:noProof/>
              </w:rPr>
              <mc:AlternateContent>
                <mc:Choice Requires="wps">
                  <w:drawing>
                    <wp:anchor distT="0" distB="0" distL="114300" distR="114300" simplePos="0" relativeHeight="251657728" behindDoc="0" locked="0" layoutInCell="1" allowOverlap="1" wp14:anchorId="631974CE" wp14:editId="6E16911E">
                      <wp:simplePos x="0" y="0"/>
                      <wp:positionH relativeFrom="column">
                        <wp:posOffset>-683895</wp:posOffset>
                      </wp:positionH>
                      <wp:positionV relativeFrom="paragraph">
                        <wp:posOffset>-638810</wp:posOffset>
                      </wp:positionV>
                      <wp:extent cx="7556500" cy="198120"/>
                      <wp:effectExtent l="0" t="0" r="0" b="0"/>
                      <wp:wrapNone/>
                      <wp:docPr id="356694512" name="txt_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F317B" w14:textId="77777777" w:rsidR="007251D5" w:rsidRPr="00E345F4" w:rsidRDefault="007251D5" w:rsidP="00E345F4">
                                  <w:pPr>
                                    <w:jc w:val="center"/>
                                    <w:rPr>
                                      <w:rFonts w:ascii="Calibri" w:hAnsi="Calibri" w:cs="Calibri"/>
                                      <w:b/>
                                      <w:color w:val="FF0000"/>
                                    </w:rPr>
                                  </w:pPr>
                                  <w:r>
                                    <w:rPr>
                                      <w:rFonts w:ascii="Calibri" w:hAnsi="Calibri" w:cs="Calibri"/>
                                      <w:b/>
                                      <w:color w:val="FF0000"/>
                                    </w:rPr>
                                    <w:t xml:space="preserve">Uwaga! Pełna funkcjonalność formularza i powiadomienie o aktualizacji po </w:t>
                                  </w:r>
                                  <w:r w:rsidRPr="00E345F4">
                                    <w:rPr>
                                      <w:rFonts w:ascii="Calibri" w:hAnsi="Calibri" w:cs="Calibri"/>
                                      <w:b/>
                                      <w:color w:val="0000FF"/>
                                    </w:rPr>
                                    <w:t xml:space="preserve">WŁĄCZENIU MAKR. </w:t>
                                  </w:r>
                                  <w:r>
                                    <w:rPr>
                                      <w:rFonts w:ascii="Calibri" w:hAnsi="Calibri" w:cs="Calibri"/>
                                      <w:b/>
                                      <w:color w:val="FF0000"/>
                                    </w:rPr>
                                    <w:t xml:space="preserve">Jak to zrobić </w:t>
                                  </w:r>
                                  <w:r w:rsidRPr="00E345F4">
                                    <w:rPr>
                                      <w:rFonts w:ascii="Calibri" w:hAnsi="Calibri" w:cs="Calibri"/>
                                      <w:b/>
                                      <w:color w:val="000000"/>
                                    </w:rPr>
                                    <w:t>www.iform.pl/makra</w:t>
                                  </w:r>
                                </w:p>
                              </w:txbxContent>
                            </wps:txbx>
                            <wps:bodyPr rot="0" vert="horz" wrap="square" lIns="0" tIns="3556" rIns="0" bIns="355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974CE" id="_x0000_t202" coordsize="21600,21600" o:spt="202" path="m,l,21600r21600,l21600,xe">
                      <v:stroke joinstyle="miter"/>
                      <v:path gradientshapeok="t" o:connecttype="rect"/>
                    </v:shapetype>
                    <v:shape id="txt_Info" o:spid="_x0000_s1026" type="#_x0000_t202" style="position:absolute;left:0;text-align:left;margin-left:-53.85pt;margin-top:-50.3pt;width:595pt;height:15.6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" filled="f" stroked="f">
                      <v:textbox inset="0,.28pt,0,.28pt">
                        <w:txbxContent>
                          <w:p w14:paraId="232F317B" w14:textId="77777777" w:rsidR="007251D5" w:rsidRPr="00E345F4" w:rsidRDefault="007251D5" w:rsidP="00E345F4">
                            <w:pPr>
                              <w:jc w:val="center"/>
                              <w:rPr>
                                <w:rFonts w:ascii="Calibri" w:hAnsi="Calibri" w:cs="Calibri"/>
                                <w:b/>
                                <w:color w:val="FF0000"/>
                              </w:rPr>
                            </w:pPr>
                            <w:r>
                              <w:rPr>
                                <w:rFonts w:ascii="Calibri" w:hAnsi="Calibri" w:cs="Calibri"/>
                                <w:b/>
                                <w:color w:val="FF0000"/>
                              </w:rPr>
                              <w:t xml:space="preserve">Uwaga! Pełna funkcjonalność formularza i powiadomienie o aktualizacji po </w:t>
                            </w:r>
                            <w:r w:rsidRPr="00E345F4">
                              <w:rPr>
                                <w:rFonts w:ascii="Calibri" w:hAnsi="Calibri" w:cs="Calibri"/>
                                <w:b/>
                                <w:color w:val="0000FF"/>
                              </w:rPr>
                              <w:t xml:space="preserve">WŁĄCZENIU MAKR. </w:t>
                            </w:r>
                            <w:r>
                              <w:rPr>
                                <w:rFonts w:ascii="Calibri" w:hAnsi="Calibri" w:cs="Calibri"/>
                                <w:b/>
                                <w:color w:val="FF0000"/>
                              </w:rPr>
                              <w:t xml:space="preserve">Jak to zrobić </w:t>
                            </w:r>
                            <w:r w:rsidRPr="00E345F4">
                              <w:rPr>
                                <w:rFonts w:ascii="Calibri" w:hAnsi="Calibri" w:cs="Calibri"/>
                                <w:b/>
                                <w:color w:val="000000"/>
                              </w:rPr>
                              <w:t>www.iform.pl/makra</w:t>
                            </w:r>
                          </w:p>
                        </w:txbxContent>
                      </v:textbox>
                    </v:shape>
                  </w:pict>
                </mc:Fallback>
              </mc:AlternateContent>
            </w:r>
            <w:r w:rsidR="00A7314A" w:rsidRPr="00D26FF8">
              <w:rPr>
                <w:b/>
                <w:bCs/>
              </w:rPr>
              <w:t>Stan na dzień sporządzenia prospektu informacyjnego</w:t>
            </w:r>
          </w:p>
          <w:p w14:paraId="4B7697D1" w14:textId="77777777" w:rsidR="00206A06" w:rsidRDefault="00206A06" w:rsidP="00065C5C">
            <w:pPr>
              <w:spacing w:after="10" w:line="240" w:lineRule="exact"/>
              <w:ind w:left="-57" w:right="-57"/>
              <w:rPr>
                <w:b/>
                <w:bCs/>
              </w:rPr>
            </w:pPr>
          </w:p>
          <w:p w14:paraId="1FAB1860" w14:textId="77777777" w:rsidR="00206A06" w:rsidRDefault="00206A06" w:rsidP="00065C5C">
            <w:pPr>
              <w:spacing w:after="10" w:line="240" w:lineRule="exact"/>
              <w:ind w:left="-57" w:right="-57"/>
              <w:rPr>
                <w:b/>
                <w:bCs/>
              </w:rPr>
            </w:pPr>
          </w:p>
          <w:p w14:paraId="01D2E07D" w14:textId="77777777" w:rsidR="00206A06" w:rsidRDefault="00206A06" w:rsidP="00065C5C">
            <w:pPr>
              <w:spacing w:after="10" w:line="240" w:lineRule="exact"/>
              <w:ind w:left="-57" w:right="-57"/>
              <w:rPr>
                <w:b/>
                <w:bCs/>
              </w:rPr>
            </w:pPr>
          </w:p>
          <w:p w14:paraId="11FAC513" w14:textId="77777777" w:rsidR="00206A06" w:rsidRPr="00D26FF8" w:rsidRDefault="00206A06" w:rsidP="00206A06">
            <w:pPr>
              <w:spacing w:before="240" w:after="10" w:line="240" w:lineRule="exact"/>
              <w:ind w:left="3527" w:right="-57"/>
            </w:pPr>
            <w:r w:rsidRPr="00065C5C">
              <w:rPr>
                <w:b/>
                <w:bCs/>
                <w:sz w:val="21"/>
                <w:szCs w:val="21"/>
              </w:rPr>
              <w:t>PROSPEKT INFORMACYJNY</w:t>
            </w:r>
          </w:p>
        </w:tc>
        <w:tc>
          <w:tcPr>
            <w:tcW w:w="1605" w:type="dxa"/>
            <w:vAlign w:val="center"/>
          </w:tcPr>
          <w:p w14:paraId="5C671D14" w14:textId="293A2AFE" w:rsidR="00A7314A" w:rsidRPr="00682C21" w:rsidRDefault="00A91478" w:rsidP="000D126C">
            <w:pPr>
              <w:spacing w:line="260" w:lineRule="exact"/>
              <w:ind w:left="-57" w:right="-57"/>
              <w:rPr>
                <w:sz w:val="21"/>
                <w:szCs w:val="21"/>
              </w:rPr>
            </w:pPr>
            <w:r>
              <w:rPr>
                <w:sz w:val="21"/>
                <w:szCs w:val="21"/>
              </w:rPr>
              <w:t>25.01.2025r</w:t>
            </w:r>
          </w:p>
        </w:tc>
      </w:tr>
      <w:tr w:rsidR="000D126C" w:rsidRPr="00065C5C" w14:paraId="2757521E" w14:textId="77777777" w:rsidTr="0014178B">
        <w:trPr>
          <w:trHeight w:val="714"/>
        </w:trPr>
        <w:tc>
          <w:tcPr>
            <w:tcW w:w="10212" w:type="dxa"/>
            <w:gridSpan w:val="4"/>
            <w:vAlign w:val="center"/>
          </w:tcPr>
          <w:p w14:paraId="1E330BC5" w14:textId="77777777" w:rsidR="000D126C" w:rsidRPr="00065C5C" w:rsidRDefault="000D126C" w:rsidP="00ED3A45">
            <w:pPr>
              <w:spacing w:after="10" w:line="280" w:lineRule="exact"/>
              <w:ind w:left="-57" w:right="-57"/>
              <w:rPr>
                <w:b/>
                <w:bCs/>
                <w:sz w:val="21"/>
                <w:szCs w:val="21"/>
              </w:rPr>
            </w:pPr>
            <w:r w:rsidRPr="00D26FF8">
              <w:rPr>
                <w:b/>
                <w:bCs/>
              </w:rPr>
              <w:t>CZĘŚĆ OGÓLNA</w:t>
            </w:r>
          </w:p>
        </w:tc>
      </w:tr>
      <w:tr w:rsidR="00A7314A" w:rsidRPr="00D26FF8" w14:paraId="0C9C9E77" w14:textId="77777777" w:rsidTr="0014178B">
        <w:trPr>
          <w:trHeight w:val="350"/>
        </w:trPr>
        <w:tc>
          <w:tcPr>
            <w:tcW w:w="10212" w:type="dxa"/>
            <w:gridSpan w:val="4"/>
          </w:tcPr>
          <w:p w14:paraId="5BF622A9" w14:textId="77777777" w:rsidR="00A7314A" w:rsidRPr="00D26FF8" w:rsidRDefault="00A7314A" w:rsidP="000D126C">
            <w:pPr>
              <w:spacing w:after="120" w:line="280" w:lineRule="exact"/>
              <w:ind w:left="975" w:right="-57" w:hanging="726"/>
              <w:rPr>
                <w:b/>
                <w:bCs/>
              </w:rPr>
            </w:pPr>
            <w:r w:rsidRPr="00D26FF8">
              <w:rPr>
                <w:b/>
                <w:bCs/>
              </w:rPr>
              <w:t xml:space="preserve">I. </w:t>
            </w:r>
            <w:r w:rsidR="000D126C">
              <w:rPr>
                <w:b/>
                <w:bCs/>
              </w:rPr>
              <w:tab/>
            </w:r>
            <w:r w:rsidRPr="00D26FF8">
              <w:rPr>
                <w:b/>
                <w:bCs/>
              </w:rPr>
              <w:t>DANE IDENTYFIKACYJNE I KONTAKTOWE DOTYCZĄCE DEWELOPERA</w:t>
            </w:r>
          </w:p>
        </w:tc>
      </w:tr>
      <w:tr w:rsidR="00A7314A" w:rsidRPr="00D26FF8" w14:paraId="679A4116" w14:textId="77777777" w:rsidTr="00C2585C">
        <w:tblPrEx>
          <w:tblCellMar>
            <w:left w:w="40" w:type="dxa"/>
            <w:right w:w="40" w:type="dxa"/>
          </w:tblCellMar>
        </w:tblPrEx>
        <w:trPr>
          <w:trHeight w:hRule="exact" w:val="797"/>
        </w:trPr>
        <w:tc>
          <w:tcPr>
            <w:tcW w:w="1020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77F260" w14:textId="77777777" w:rsidR="00A7314A" w:rsidRPr="00D26FF8" w:rsidRDefault="00A7314A" w:rsidP="000D126C">
            <w:pPr>
              <w:spacing w:before="120" w:after="10" w:line="260" w:lineRule="exact"/>
              <w:ind w:left="57" w:right="-57"/>
            </w:pPr>
            <w:r w:rsidRPr="00D26FF8">
              <w:rPr>
                <w:b/>
                <w:bCs/>
                <w:color w:val="000000"/>
              </w:rPr>
              <w:t>DANE DEWELOPERA</w:t>
            </w:r>
          </w:p>
        </w:tc>
      </w:tr>
      <w:tr w:rsidR="00A7314A" w:rsidRPr="00015907" w14:paraId="3E78A670" w14:textId="77777777" w:rsidTr="00C2585C">
        <w:tblPrEx>
          <w:tblCellMar>
            <w:left w:w="40" w:type="dxa"/>
            <w:right w:w="40" w:type="dxa"/>
          </w:tblCellMar>
        </w:tblPrEx>
        <w:trPr>
          <w:trHeight w:val="825"/>
        </w:trPr>
        <w:tc>
          <w:tcPr>
            <w:tcW w:w="3082" w:type="dxa"/>
            <w:vMerge w:val="restart"/>
            <w:tcBorders>
              <w:top w:val="single" w:sz="12" w:space="0" w:color="auto"/>
              <w:left w:val="single" w:sz="12" w:space="0" w:color="auto"/>
              <w:right w:val="single" w:sz="6" w:space="0" w:color="auto"/>
            </w:tcBorders>
            <w:shd w:val="clear" w:color="auto" w:fill="F2F2F2" w:themeFill="background1" w:themeFillShade="F2"/>
          </w:tcPr>
          <w:p w14:paraId="23BFDEB5" w14:textId="77777777" w:rsidR="00A7314A" w:rsidRPr="00D26FF8" w:rsidRDefault="00A7314A" w:rsidP="000D126C">
            <w:pPr>
              <w:spacing w:before="60" w:after="10" w:line="260" w:lineRule="exact"/>
              <w:ind w:left="57" w:right="-57"/>
            </w:pPr>
            <w:r w:rsidRPr="00D26FF8">
              <w:rPr>
                <w:color w:val="000000"/>
                <w:spacing w:val="-2"/>
              </w:rPr>
              <w:t>Deweloper</w:t>
            </w:r>
          </w:p>
        </w:tc>
        <w:tc>
          <w:tcPr>
            <w:tcW w:w="7123" w:type="dxa"/>
            <w:gridSpan w:val="3"/>
            <w:tcBorders>
              <w:top w:val="single" w:sz="12" w:space="0" w:color="auto"/>
              <w:left w:val="single" w:sz="6" w:space="0" w:color="auto"/>
              <w:right w:val="single" w:sz="12" w:space="0" w:color="auto"/>
            </w:tcBorders>
            <w:shd w:val="clear" w:color="auto" w:fill="FFFFFF"/>
          </w:tcPr>
          <w:p w14:paraId="12CF86F2" w14:textId="5473D1A4" w:rsidR="00A7314A" w:rsidRPr="002819C8" w:rsidRDefault="002819C8" w:rsidP="00374320">
            <w:pPr>
              <w:shd w:val="clear" w:color="auto" w:fill="FFFFFF"/>
              <w:spacing w:before="30" w:line="270" w:lineRule="exact"/>
              <w:rPr>
                <w:rFonts w:asciiTheme="minorHAnsi" w:hAnsiTheme="minorHAnsi" w:cstheme="minorHAnsi"/>
                <w:bCs/>
                <w:sz w:val="24"/>
                <w:szCs w:val="24"/>
              </w:rPr>
            </w:pPr>
            <w:r w:rsidRPr="002819C8">
              <w:t>UNIQUE PREMISE DEVELOPMENT SPÓŁKA Z OGRANICZONĄ ODPOWIEDZIALNOŚCIĄ, wpisana do rejestru przedsiębiorców prowadzonego przez Sąd Rejonowy dla m.st. Warszawy w Warszawie XII Wydział Gospodarczy Krajowego Rejestru Sądowego pod numerem:  0001115456</w:t>
            </w:r>
          </w:p>
        </w:tc>
      </w:tr>
      <w:tr w:rsidR="00A7314A" w:rsidRPr="00015907" w14:paraId="7F56F963" w14:textId="77777777" w:rsidTr="00C2585C">
        <w:tblPrEx>
          <w:tblCellMar>
            <w:left w:w="40" w:type="dxa"/>
            <w:right w:w="40" w:type="dxa"/>
          </w:tblCellMar>
        </w:tblPrEx>
        <w:trPr>
          <w:trHeight w:val="657"/>
        </w:trPr>
        <w:tc>
          <w:tcPr>
            <w:tcW w:w="3082" w:type="dxa"/>
            <w:vMerge/>
            <w:tcBorders>
              <w:left w:val="single" w:sz="12" w:space="0" w:color="auto"/>
              <w:bottom w:val="single" w:sz="6" w:space="0" w:color="auto"/>
              <w:right w:val="single" w:sz="6" w:space="0" w:color="auto"/>
            </w:tcBorders>
            <w:shd w:val="clear" w:color="auto" w:fill="F2F2F2" w:themeFill="background1" w:themeFillShade="F2"/>
          </w:tcPr>
          <w:p w14:paraId="3595FD31" w14:textId="77777777" w:rsidR="00A7314A" w:rsidRPr="00D26FF8" w:rsidRDefault="00A7314A" w:rsidP="00206A06">
            <w:pPr>
              <w:shd w:val="clear" w:color="auto" w:fill="FFFFFF"/>
              <w:spacing w:before="60" w:line="260" w:lineRule="exact"/>
              <w:ind w:left="28"/>
              <w:rPr>
                <w:color w:val="000000"/>
                <w:spacing w:val="-2"/>
              </w:rPr>
            </w:pPr>
          </w:p>
        </w:tc>
        <w:tc>
          <w:tcPr>
            <w:tcW w:w="7123" w:type="dxa"/>
            <w:gridSpan w:val="3"/>
            <w:tcBorders>
              <w:left w:val="single" w:sz="6" w:space="0" w:color="auto"/>
              <w:bottom w:val="single" w:sz="6" w:space="0" w:color="auto"/>
              <w:right w:val="single" w:sz="12" w:space="0" w:color="auto"/>
            </w:tcBorders>
            <w:shd w:val="clear" w:color="auto" w:fill="FFFFFF"/>
            <w:vAlign w:val="center"/>
          </w:tcPr>
          <w:p w14:paraId="561F06DC" w14:textId="6055164A" w:rsidR="00A7314A" w:rsidRPr="00D26FF8" w:rsidRDefault="00A7314A" w:rsidP="002819C8">
            <w:pPr>
              <w:shd w:val="clear" w:color="auto" w:fill="FFFFFF"/>
              <w:spacing w:line="260" w:lineRule="exact"/>
              <w:ind w:right="79"/>
              <w:jc w:val="both"/>
            </w:pPr>
          </w:p>
        </w:tc>
      </w:tr>
      <w:tr w:rsidR="009203EF" w:rsidRPr="00015907" w14:paraId="2415D10C" w14:textId="77777777" w:rsidTr="00C2585C">
        <w:tblPrEx>
          <w:tblCellMar>
            <w:left w:w="40" w:type="dxa"/>
            <w:right w:w="40" w:type="dxa"/>
          </w:tblCellMar>
        </w:tblPrEx>
        <w:trPr>
          <w:trHeight w:val="628"/>
        </w:trPr>
        <w:tc>
          <w:tcPr>
            <w:tcW w:w="3082" w:type="dxa"/>
            <w:vMerge w:val="restart"/>
            <w:tcBorders>
              <w:top w:val="single" w:sz="6" w:space="0" w:color="auto"/>
              <w:left w:val="single" w:sz="12" w:space="0" w:color="auto"/>
              <w:right w:val="single" w:sz="6" w:space="0" w:color="auto"/>
            </w:tcBorders>
            <w:shd w:val="clear" w:color="auto" w:fill="F2F2F2" w:themeFill="background1" w:themeFillShade="F2"/>
          </w:tcPr>
          <w:p w14:paraId="46AA5881" w14:textId="77777777" w:rsidR="009203EF" w:rsidRPr="00D26FF8" w:rsidRDefault="009203EF" w:rsidP="009203EF">
            <w:pPr>
              <w:spacing w:before="60" w:after="10" w:line="260" w:lineRule="exact"/>
              <w:ind w:left="57" w:right="-57"/>
            </w:pPr>
            <w:r w:rsidRPr="00D26FF8">
              <w:rPr>
                <w:color w:val="000000"/>
                <w:spacing w:val="-2"/>
              </w:rPr>
              <w:t>Adres</w:t>
            </w:r>
          </w:p>
        </w:tc>
        <w:tc>
          <w:tcPr>
            <w:tcW w:w="7123" w:type="dxa"/>
            <w:gridSpan w:val="3"/>
            <w:tcBorders>
              <w:top w:val="single" w:sz="6" w:space="0" w:color="auto"/>
              <w:left w:val="single" w:sz="6" w:space="0" w:color="auto"/>
              <w:right w:val="single" w:sz="12" w:space="0" w:color="auto"/>
            </w:tcBorders>
            <w:shd w:val="clear" w:color="auto" w:fill="FFFFFF"/>
          </w:tcPr>
          <w:p w14:paraId="10122B5A" w14:textId="2F4B02E6" w:rsidR="009203EF" w:rsidRPr="009203EF" w:rsidRDefault="002819C8" w:rsidP="009203EF">
            <w:pPr>
              <w:shd w:val="clear" w:color="auto" w:fill="FFFFFF"/>
              <w:spacing w:before="30" w:line="270" w:lineRule="exact"/>
              <w:rPr>
                <w:rFonts w:ascii="Arial" w:hAnsi="Arial" w:cs="Arial"/>
                <w:b/>
                <w:sz w:val="21"/>
                <w:szCs w:val="21"/>
              </w:rPr>
            </w:pPr>
            <w:r w:rsidRPr="002819C8">
              <w:t>UL. NOWY ŚWIAT 33 LOK.13, 00-029 WARSZAWA</w:t>
            </w:r>
          </w:p>
        </w:tc>
      </w:tr>
      <w:tr w:rsidR="009203EF" w:rsidRPr="00015907" w14:paraId="382C7CAE" w14:textId="77777777" w:rsidTr="00C2585C">
        <w:tblPrEx>
          <w:tblCellMar>
            <w:left w:w="40" w:type="dxa"/>
            <w:right w:w="40" w:type="dxa"/>
          </w:tblCellMar>
        </w:tblPrEx>
        <w:trPr>
          <w:trHeight w:val="923"/>
        </w:trPr>
        <w:tc>
          <w:tcPr>
            <w:tcW w:w="3082" w:type="dxa"/>
            <w:vMerge/>
            <w:tcBorders>
              <w:left w:val="single" w:sz="12" w:space="0" w:color="auto"/>
              <w:bottom w:val="single" w:sz="6" w:space="0" w:color="auto"/>
              <w:right w:val="single" w:sz="6" w:space="0" w:color="auto"/>
            </w:tcBorders>
            <w:shd w:val="clear" w:color="auto" w:fill="F2F2F2" w:themeFill="background1" w:themeFillShade="F2"/>
          </w:tcPr>
          <w:p w14:paraId="7401796C" w14:textId="77777777" w:rsidR="009203EF" w:rsidRPr="00D26FF8" w:rsidRDefault="009203EF" w:rsidP="009203EF">
            <w:pPr>
              <w:spacing w:before="60" w:after="10" w:line="260" w:lineRule="exact"/>
              <w:ind w:left="28" w:right="-57"/>
              <w:rPr>
                <w:color w:val="000000"/>
                <w:spacing w:val="-2"/>
              </w:rPr>
            </w:pPr>
          </w:p>
        </w:tc>
        <w:tc>
          <w:tcPr>
            <w:tcW w:w="7123" w:type="dxa"/>
            <w:gridSpan w:val="3"/>
            <w:tcBorders>
              <w:left w:val="single" w:sz="6" w:space="0" w:color="auto"/>
              <w:bottom w:val="single" w:sz="6" w:space="0" w:color="auto"/>
              <w:right w:val="single" w:sz="12" w:space="0" w:color="auto"/>
            </w:tcBorders>
            <w:shd w:val="clear" w:color="auto" w:fill="FFFFFF"/>
            <w:vAlign w:val="center"/>
          </w:tcPr>
          <w:p w14:paraId="779C09AF" w14:textId="38C01E04" w:rsidR="009203EF" w:rsidRPr="00D26FF8" w:rsidRDefault="009203EF" w:rsidP="002819C8">
            <w:pPr>
              <w:shd w:val="clear" w:color="auto" w:fill="FFFFFF"/>
              <w:spacing w:line="260" w:lineRule="exact"/>
              <w:ind w:right="79"/>
              <w:jc w:val="both"/>
              <w:rPr>
                <w:color w:val="000000"/>
              </w:rPr>
            </w:pPr>
          </w:p>
        </w:tc>
      </w:tr>
      <w:tr w:rsidR="009203EF" w:rsidRPr="00015907" w14:paraId="11BEA209" w14:textId="77777777" w:rsidTr="00C2585C">
        <w:tblPrEx>
          <w:tblCellMar>
            <w:left w:w="40" w:type="dxa"/>
            <w:right w:w="40" w:type="dxa"/>
          </w:tblCellMar>
        </w:tblPrEx>
        <w:trPr>
          <w:trHeight w:hRule="exact" w:val="330"/>
        </w:trPr>
        <w:tc>
          <w:tcPr>
            <w:tcW w:w="3082" w:type="dxa"/>
            <w:vMerge w:val="restart"/>
            <w:tcBorders>
              <w:top w:val="single" w:sz="6" w:space="0" w:color="auto"/>
              <w:left w:val="single" w:sz="12" w:space="0" w:color="auto"/>
              <w:right w:val="single" w:sz="6" w:space="0" w:color="auto"/>
            </w:tcBorders>
            <w:shd w:val="clear" w:color="auto" w:fill="F2F2F2" w:themeFill="background1" w:themeFillShade="F2"/>
            <w:vAlign w:val="center"/>
          </w:tcPr>
          <w:p w14:paraId="1DB7EDAA" w14:textId="77777777" w:rsidR="009203EF" w:rsidRPr="00D26FF8" w:rsidRDefault="009203EF" w:rsidP="009203EF">
            <w:pPr>
              <w:spacing w:after="10" w:line="260" w:lineRule="exact"/>
              <w:ind w:left="57" w:right="-57"/>
            </w:pPr>
            <w:r w:rsidRPr="000D126C">
              <w:rPr>
                <w:color w:val="000000"/>
                <w:spacing w:val="10"/>
              </w:rPr>
              <w:t>Numer NIP i REGON</w:t>
            </w:r>
          </w:p>
        </w:tc>
        <w:tc>
          <w:tcPr>
            <w:tcW w:w="3561" w:type="dxa"/>
            <w:tcBorders>
              <w:top w:val="single" w:sz="6" w:space="0" w:color="auto"/>
              <w:left w:val="single" w:sz="6" w:space="0" w:color="auto"/>
              <w:right w:val="single" w:sz="6" w:space="0" w:color="auto"/>
            </w:tcBorders>
            <w:shd w:val="clear" w:color="auto" w:fill="FFFFFF"/>
            <w:vAlign w:val="center"/>
          </w:tcPr>
          <w:p w14:paraId="34254D0E" w14:textId="060AD6A9" w:rsidR="009203EF" w:rsidRPr="00D26FF8" w:rsidRDefault="002819C8" w:rsidP="002819C8">
            <w:pPr>
              <w:shd w:val="clear" w:color="auto" w:fill="FFFFFF"/>
              <w:spacing w:line="240" w:lineRule="exact"/>
              <w:rPr>
                <w:color w:val="000000"/>
              </w:rPr>
            </w:pPr>
            <w:r w:rsidRPr="002819C8">
              <w:t>5253010238</w:t>
            </w:r>
          </w:p>
        </w:tc>
        <w:tc>
          <w:tcPr>
            <w:tcW w:w="3562" w:type="dxa"/>
            <w:gridSpan w:val="2"/>
            <w:tcBorders>
              <w:top w:val="single" w:sz="6" w:space="0" w:color="auto"/>
              <w:left w:val="single" w:sz="6" w:space="0" w:color="auto"/>
              <w:right w:val="single" w:sz="12" w:space="0" w:color="auto"/>
            </w:tcBorders>
            <w:shd w:val="clear" w:color="auto" w:fill="FFFFFF"/>
            <w:vAlign w:val="center"/>
          </w:tcPr>
          <w:p w14:paraId="1609D1B4" w14:textId="03C54F44" w:rsidR="009203EF" w:rsidRPr="00D26FF8" w:rsidRDefault="002819C8" w:rsidP="002819C8">
            <w:pPr>
              <w:shd w:val="clear" w:color="auto" w:fill="FFFFFF"/>
              <w:spacing w:line="240" w:lineRule="exact"/>
              <w:rPr>
                <w:color w:val="000000"/>
              </w:rPr>
            </w:pPr>
            <w:r w:rsidRPr="002819C8">
              <w:t>529151608</w:t>
            </w:r>
          </w:p>
        </w:tc>
      </w:tr>
      <w:tr w:rsidR="009203EF" w:rsidRPr="00015907" w14:paraId="1A13F22A" w14:textId="77777777" w:rsidTr="00C2585C">
        <w:tblPrEx>
          <w:tblCellMar>
            <w:left w:w="40" w:type="dxa"/>
            <w:right w:w="40" w:type="dxa"/>
          </w:tblCellMar>
        </w:tblPrEx>
        <w:trPr>
          <w:trHeight w:val="420"/>
        </w:trPr>
        <w:tc>
          <w:tcPr>
            <w:tcW w:w="3082" w:type="dxa"/>
            <w:vMerge/>
            <w:tcBorders>
              <w:left w:val="single" w:sz="12" w:space="0" w:color="auto"/>
              <w:bottom w:val="single" w:sz="6" w:space="0" w:color="auto"/>
              <w:right w:val="single" w:sz="6" w:space="0" w:color="auto"/>
            </w:tcBorders>
            <w:shd w:val="clear" w:color="auto" w:fill="F2F2F2" w:themeFill="background1" w:themeFillShade="F2"/>
          </w:tcPr>
          <w:p w14:paraId="595AFD39" w14:textId="77777777" w:rsidR="009203EF" w:rsidRPr="00D26FF8" w:rsidRDefault="009203EF" w:rsidP="009203EF">
            <w:pPr>
              <w:spacing w:after="10" w:line="260" w:lineRule="exact"/>
              <w:ind w:left="28" w:right="-57"/>
              <w:rPr>
                <w:color w:val="000000"/>
                <w:spacing w:val="10"/>
              </w:rPr>
            </w:pPr>
          </w:p>
        </w:tc>
        <w:tc>
          <w:tcPr>
            <w:tcW w:w="3561" w:type="dxa"/>
            <w:tcBorders>
              <w:left w:val="single" w:sz="6" w:space="0" w:color="auto"/>
              <w:bottom w:val="single" w:sz="6" w:space="0" w:color="auto"/>
              <w:right w:val="single" w:sz="6" w:space="0" w:color="auto"/>
            </w:tcBorders>
            <w:shd w:val="clear" w:color="auto" w:fill="FFFFFF"/>
            <w:vAlign w:val="center"/>
          </w:tcPr>
          <w:p w14:paraId="12B15844" w14:textId="43D6AB05" w:rsidR="009203EF" w:rsidRPr="009203EF" w:rsidRDefault="009203EF" w:rsidP="009203EF">
            <w:pPr>
              <w:shd w:val="clear" w:color="auto" w:fill="FFFFFF"/>
              <w:spacing w:before="30" w:line="270" w:lineRule="exact"/>
              <w:jc w:val="center"/>
              <w:rPr>
                <w:rFonts w:ascii="Arial" w:hAnsi="Arial" w:cs="Arial"/>
                <w:b/>
                <w:sz w:val="21"/>
                <w:szCs w:val="21"/>
              </w:rPr>
            </w:pPr>
          </w:p>
        </w:tc>
        <w:tc>
          <w:tcPr>
            <w:tcW w:w="3562" w:type="dxa"/>
            <w:gridSpan w:val="2"/>
            <w:tcBorders>
              <w:left w:val="single" w:sz="6" w:space="0" w:color="auto"/>
              <w:bottom w:val="single" w:sz="6" w:space="0" w:color="auto"/>
              <w:right w:val="single" w:sz="12" w:space="0" w:color="auto"/>
            </w:tcBorders>
            <w:shd w:val="clear" w:color="auto" w:fill="FFFFFF"/>
            <w:vAlign w:val="center"/>
          </w:tcPr>
          <w:p w14:paraId="3893D30A" w14:textId="748D2565" w:rsidR="009203EF" w:rsidRPr="009203EF" w:rsidRDefault="009203EF" w:rsidP="009203EF">
            <w:pPr>
              <w:shd w:val="clear" w:color="auto" w:fill="FFFFFF"/>
              <w:spacing w:before="30" w:line="270" w:lineRule="exact"/>
              <w:jc w:val="center"/>
              <w:rPr>
                <w:rFonts w:ascii="Arial" w:hAnsi="Arial" w:cs="Arial"/>
                <w:b/>
                <w:sz w:val="21"/>
                <w:szCs w:val="21"/>
              </w:rPr>
            </w:pPr>
          </w:p>
        </w:tc>
      </w:tr>
      <w:tr w:rsidR="009203EF" w:rsidRPr="00015907" w14:paraId="12BAEF3D" w14:textId="77777777" w:rsidTr="00C2585C">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0A3DEC55" w14:textId="77777777" w:rsidR="009203EF" w:rsidRPr="00D26FF8" w:rsidRDefault="009203EF" w:rsidP="009203EF">
            <w:pPr>
              <w:spacing w:after="10" w:line="260" w:lineRule="exact"/>
              <w:ind w:left="57" w:right="-57"/>
            </w:pPr>
            <w:r w:rsidRPr="000D126C">
              <w:rPr>
                <w:color w:val="000000"/>
                <w:spacing w:val="-1"/>
              </w:rPr>
              <w:t>Numer telefonu</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04A03FC4" w14:textId="0068403D" w:rsidR="009203EF" w:rsidRPr="009203EF" w:rsidRDefault="002819C8" w:rsidP="009203EF">
            <w:pPr>
              <w:shd w:val="clear" w:color="auto" w:fill="FFFFFF"/>
              <w:spacing w:before="30" w:line="270" w:lineRule="exact"/>
              <w:rPr>
                <w:rFonts w:ascii="Arial" w:hAnsi="Arial" w:cs="Arial"/>
                <w:b/>
                <w:sz w:val="21"/>
                <w:szCs w:val="21"/>
              </w:rPr>
            </w:pPr>
            <w:r w:rsidRPr="002819C8">
              <w:t>+48 668 380 901; +48 694 581 083</w:t>
            </w:r>
          </w:p>
        </w:tc>
      </w:tr>
      <w:tr w:rsidR="009203EF" w:rsidRPr="00015907" w14:paraId="4E8B068F" w14:textId="77777777" w:rsidTr="00C2585C">
        <w:tblPrEx>
          <w:tblCellMar>
            <w:left w:w="40" w:type="dxa"/>
            <w:right w:w="40" w:type="dxa"/>
          </w:tblCellMar>
        </w:tblPrEx>
        <w:trPr>
          <w:trHeight w:val="605"/>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2878B102" w14:textId="77777777" w:rsidR="009203EF" w:rsidRPr="00D26FF8" w:rsidRDefault="009203EF" w:rsidP="009203EF">
            <w:pPr>
              <w:spacing w:after="10" w:line="260" w:lineRule="exact"/>
              <w:ind w:left="57" w:right="-57"/>
            </w:pPr>
            <w:r w:rsidRPr="00D26FF8">
              <w:rPr>
                <w:color w:val="000000"/>
                <w:spacing w:val="-1"/>
              </w:rPr>
              <w:t>Adres poczty elektronicznej</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392B55E5" w14:textId="7513796F" w:rsidR="009203EF" w:rsidRPr="009203EF" w:rsidRDefault="002819C8" w:rsidP="009203EF">
            <w:pPr>
              <w:shd w:val="clear" w:color="auto" w:fill="FFFFFF"/>
              <w:spacing w:before="30" w:line="270" w:lineRule="exact"/>
              <w:rPr>
                <w:rFonts w:ascii="Arial" w:hAnsi="Arial" w:cs="Arial"/>
                <w:b/>
                <w:sz w:val="21"/>
                <w:szCs w:val="21"/>
              </w:rPr>
            </w:pPr>
            <w:r w:rsidRPr="002819C8">
              <w:t>upd@op.pl</w:t>
            </w:r>
          </w:p>
        </w:tc>
      </w:tr>
      <w:tr w:rsidR="009203EF" w:rsidRPr="00015907" w14:paraId="5A1FD8F4" w14:textId="77777777" w:rsidTr="00C2585C">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46878A05" w14:textId="77777777" w:rsidR="009203EF" w:rsidRPr="00D26FF8" w:rsidRDefault="009203EF" w:rsidP="009203EF">
            <w:pPr>
              <w:spacing w:after="10" w:line="260" w:lineRule="exact"/>
              <w:ind w:left="57" w:right="-57"/>
            </w:pPr>
            <w:r w:rsidRPr="000D126C">
              <w:rPr>
                <w:color w:val="000000"/>
                <w:spacing w:val="-5"/>
              </w:rPr>
              <w:t>Numer faksu</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58C6B523" w14:textId="313265C5"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15907" w14:paraId="586AE9C0" w14:textId="77777777" w:rsidTr="00C2585C">
        <w:tblPrEx>
          <w:tblCellMar>
            <w:left w:w="40" w:type="dxa"/>
            <w:right w:w="40" w:type="dxa"/>
          </w:tblCellMar>
        </w:tblPrEx>
        <w:trPr>
          <w:trHeight w:val="614"/>
        </w:trPr>
        <w:tc>
          <w:tcPr>
            <w:tcW w:w="3082"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12D2EF4C" w14:textId="77777777" w:rsidR="009203EF" w:rsidRPr="00D26FF8" w:rsidRDefault="009203EF" w:rsidP="009203EF">
            <w:pPr>
              <w:spacing w:after="10" w:line="260" w:lineRule="exact"/>
              <w:ind w:left="57" w:right="-57"/>
            </w:pPr>
            <w:r w:rsidRPr="00D26FF8">
              <w:rPr>
                <w:color w:val="000000"/>
                <w:spacing w:val="1"/>
              </w:rPr>
              <w:t>Adres strony internetowej</w:t>
            </w:r>
            <w:r>
              <w:rPr>
                <w:color w:val="000000"/>
                <w:spacing w:val="1"/>
              </w:rPr>
              <w:t xml:space="preserve"> </w:t>
            </w:r>
            <w:r w:rsidRPr="00D26FF8">
              <w:rPr>
                <w:color w:val="000000"/>
              </w:rPr>
              <w:t>dewelopera</w:t>
            </w:r>
          </w:p>
        </w:tc>
        <w:tc>
          <w:tcPr>
            <w:tcW w:w="7123" w:type="dxa"/>
            <w:gridSpan w:val="3"/>
            <w:tcBorders>
              <w:top w:val="single" w:sz="6" w:space="0" w:color="auto"/>
              <w:left w:val="single" w:sz="6" w:space="0" w:color="auto"/>
              <w:bottom w:val="single" w:sz="12" w:space="0" w:color="auto"/>
              <w:right w:val="single" w:sz="12" w:space="0" w:color="auto"/>
            </w:tcBorders>
            <w:shd w:val="clear" w:color="auto" w:fill="FFFFFF"/>
          </w:tcPr>
          <w:p w14:paraId="4132E43E" w14:textId="63F2CD31" w:rsidR="009203EF" w:rsidRPr="009203EF" w:rsidRDefault="00E21E27" w:rsidP="009203EF">
            <w:pPr>
              <w:shd w:val="clear" w:color="auto" w:fill="FFFFFF"/>
              <w:spacing w:before="30" w:line="270" w:lineRule="exact"/>
              <w:rPr>
                <w:rFonts w:ascii="Arial" w:hAnsi="Arial" w:cs="Arial"/>
                <w:b/>
                <w:sz w:val="21"/>
                <w:szCs w:val="21"/>
              </w:rPr>
            </w:pPr>
            <w:r w:rsidRPr="00E21E27">
              <w:t>www.uniquepremisedevelopment.pl</w:t>
            </w:r>
          </w:p>
        </w:tc>
      </w:tr>
      <w:tr w:rsidR="009203EF" w:rsidRPr="00D26FF8" w14:paraId="59EE8E36" w14:textId="77777777" w:rsidTr="0014178B">
        <w:trPr>
          <w:trHeight w:val="683"/>
        </w:trPr>
        <w:tc>
          <w:tcPr>
            <w:tcW w:w="10212" w:type="dxa"/>
            <w:gridSpan w:val="4"/>
            <w:vAlign w:val="bottom"/>
          </w:tcPr>
          <w:p w14:paraId="189652AE" w14:textId="77777777" w:rsidR="009203EF" w:rsidRPr="00D26FF8" w:rsidRDefault="009203EF" w:rsidP="009203EF">
            <w:pPr>
              <w:spacing w:after="120" w:line="280" w:lineRule="exact"/>
              <w:ind w:left="975" w:right="-57" w:hanging="726"/>
              <w:rPr>
                <w:b/>
                <w:bCs/>
              </w:rPr>
            </w:pPr>
            <w:r w:rsidRPr="00D26FF8">
              <w:rPr>
                <w:b/>
                <w:bCs/>
              </w:rPr>
              <w:t>II.</w:t>
            </w:r>
            <w:r>
              <w:rPr>
                <w:b/>
                <w:bCs/>
              </w:rPr>
              <w:tab/>
            </w:r>
            <w:r w:rsidRPr="00D26FF8">
              <w:rPr>
                <w:b/>
                <w:bCs/>
              </w:rPr>
              <w:t>DOŚWIADCZENIE DEWELOPERA</w:t>
            </w:r>
          </w:p>
        </w:tc>
      </w:tr>
      <w:tr w:rsidR="009203EF" w:rsidRPr="00D26FF8" w14:paraId="3F3270AB" w14:textId="77777777" w:rsidTr="00C2585C">
        <w:tblPrEx>
          <w:tblCellMar>
            <w:left w:w="40" w:type="dxa"/>
            <w:right w:w="40" w:type="dxa"/>
          </w:tblCellMar>
        </w:tblPrEx>
        <w:trPr>
          <w:trHeight w:hRule="exact" w:val="846"/>
        </w:trPr>
        <w:tc>
          <w:tcPr>
            <w:tcW w:w="1020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FD2A5E1" w14:textId="77777777" w:rsidR="009203EF" w:rsidRPr="00D26FF8" w:rsidRDefault="009203EF" w:rsidP="00682C21">
            <w:pPr>
              <w:spacing w:before="120" w:after="10" w:line="260" w:lineRule="exact"/>
              <w:ind w:left="57" w:right="-57"/>
              <w:rPr>
                <w:b/>
                <w:bCs/>
                <w:color w:val="000000"/>
              </w:rPr>
            </w:pPr>
            <w:r w:rsidRPr="00D26FF8">
              <w:rPr>
                <w:b/>
                <w:bCs/>
                <w:color w:val="000000"/>
              </w:rPr>
              <w:t>HISTORIA I UDOKUMENTOWANE DOŚWIADCZENIE DEWELOPERA</w:t>
            </w:r>
          </w:p>
        </w:tc>
      </w:tr>
      <w:tr w:rsidR="009203EF" w:rsidRPr="00D26FF8" w14:paraId="1B937B36" w14:textId="77777777" w:rsidTr="0014178B">
        <w:trPr>
          <w:trHeight w:val="76"/>
        </w:trPr>
        <w:tc>
          <w:tcPr>
            <w:tcW w:w="10212" w:type="dxa"/>
            <w:gridSpan w:val="4"/>
            <w:vAlign w:val="bottom"/>
          </w:tcPr>
          <w:p w14:paraId="0D19385A" w14:textId="77777777" w:rsidR="009203EF" w:rsidRPr="00D26FF8" w:rsidRDefault="009203EF" w:rsidP="009203EF">
            <w:pPr>
              <w:spacing w:after="120" w:line="280" w:lineRule="exact"/>
              <w:ind w:left="975" w:right="-57" w:hanging="726"/>
              <w:rPr>
                <w:b/>
                <w:bCs/>
              </w:rPr>
            </w:pPr>
          </w:p>
        </w:tc>
      </w:tr>
      <w:tr w:rsidR="009203EF" w:rsidRPr="00D26FF8" w14:paraId="57716456" w14:textId="77777777" w:rsidTr="00C2585C">
        <w:tblPrEx>
          <w:tblCellMar>
            <w:left w:w="40" w:type="dxa"/>
            <w:right w:w="40" w:type="dxa"/>
          </w:tblCellMar>
        </w:tblPrEx>
        <w:trPr>
          <w:trHeight w:val="888"/>
        </w:trPr>
        <w:tc>
          <w:tcPr>
            <w:tcW w:w="10205" w:type="dxa"/>
            <w:gridSpan w:val="4"/>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03EA8809" w14:textId="77777777" w:rsidR="009203EF" w:rsidRPr="00D26FF8" w:rsidRDefault="009203EF" w:rsidP="00682C21">
            <w:pPr>
              <w:spacing w:before="120" w:after="10" w:line="260" w:lineRule="exact"/>
              <w:ind w:left="57" w:right="-57"/>
              <w:rPr>
                <w:b/>
                <w:bCs/>
                <w:color w:val="000000"/>
              </w:rPr>
            </w:pPr>
            <w:r w:rsidRPr="00D26FF8">
              <w:rPr>
                <w:b/>
                <w:bCs/>
                <w:color w:val="000000"/>
              </w:rPr>
              <w:t>PRZYKŁAD UKOŃCZONEGO PRZEDSIĘWZIĘCIA DEWELOPERSKIEGO</w:t>
            </w:r>
            <w:r>
              <w:rPr>
                <w:b/>
                <w:bCs/>
                <w:color w:val="000000"/>
              </w:rPr>
              <w:t xml:space="preserve"> </w:t>
            </w:r>
            <w:r w:rsidRPr="000D126C">
              <w:rPr>
                <w:b/>
                <w:bCs/>
                <w:color w:val="000000"/>
              </w:rPr>
              <w:t xml:space="preserve">(należy wskazać, o ile istnieją, </w:t>
            </w:r>
            <w:r>
              <w:rPr>
                <w:b/>
                <w:bCs/>
                <w:color w:val="000000"/>
              </w:rPr>
              <w:br/>
            </w:r>
            <w:r w:rsidRPr="000D126C">
              <w:rPr>
                <w:b/>
                <w:bCs/>
                <w:color w:val="000000"/>
              </w:rPr>
              <w:t>trzy ukończone przedsięwzięcia deweloperskie, w tym ostatnie)</w:t>
            </w:r>
          </w:p>
        </w:tc>
      </w:tr>
      <w:tr w:rsidR="009203EF" w:rsidRPr="00015907" w14:paraId="09BE1EEE" w14:textId="77777777" w:rsidTr="00C2585C">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34231162" w14:textId="77777777" w:rsidR="009203EF" w:rsidRPr="00480BCE" w:rsidRDefault="009203EF" w:rsidP="009203EF">
            <w:pPr>
              <w:spacing w:after="10" w:line="260" w:lineRule="exact"/>
              <w:ind w:left="57" w:right="-57"/>
            </w:pPr>
            <w:r w:rsidRPr="00480BCE">
              <w:t>Adres</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405EA3C9" w14:textId="5C534896"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15907" w14:paraId="753D3D12" w14:textId="77777777" w:rsidTr="00C2585C">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5DB539D2" w14:textId="77777777" w:rsidR="009203EF" w:rsidRPr="00480BCE" w:rsidRDefault="009203EF" w:rsidP="009203EF">
            <w:pPr>
              <w:spacing w:after="10" w:line="260" w:lineRule="exact"/>
              <w:ind w:left="57" w:right="-57"/>
            </w:pPr>
            <w:r w:rsidRPr="00480BCE">
              <w:t>Data rozpoczęcia</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0C781152" w14:textId="48ADDD58"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15907" w14:paraId="2B45B1B2" w14:textId="77777777" w:rsidTr="00C2585C">
        <w:tblPrEx>
          <w:tblCellMar>
            <w:left w:w="40" w:type="dxa"/>
            <w:right w:w="40" w:type="dxa"/>
          </w:tblCellMar>
        </w:tblPrEx>
        <w:trPr>
          <w:trHeight w:val="665"/>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495CC3EA" w14:textId="77777777" w:rsidR="009203EF" w:rsidRPr="00480BCE" w:rsidRDefault="009203EF" w:rsidP="00682C21">
            <w:pPr>
              <w:spacing w:after="10" w:line="260" w:lineRule="exact"/>
              <w:ind w:left="57"/>
            </w:pPr>
            <w:r w:rsidRPr="000D126C">
              <w:t>Data wydania decyzji</w:t>
            </w:r>
            <w:r w:rsidR="00682C21">
              <w:br/>
            </w:r>
            <w:r w:rsidRPr="000D126C">
              <w:t>o pozwoleniu</w:t>
            </w:r>
            <w:r w:rsidR="00682C21">
              <w:t xml:space="preserve"> </w:t>
            </w:r>
            <w:r w:rsidRPr="000D126C">
              <w:t>na użytkowanie</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06D4C2E6" w14:textId="3A67B750"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15907" w14:paraId="4FCDEFAD" w14:textId="77777777" w:rsidTr="00C2585C">
        <w:tblPrEx>
          <w:tblCellMar>
            <w:left w:w="40" w:type="dxa"/>
            <w:right w:w="40" w:type="dxa"/>
          </w:tblCellMar>
        </w:tblPrEx>
        <w:trPr>
          <w:trHeight w:val="850"/>
        </w:trPr>
        <w:tc>
          <w:tcPr>
            <w:tcW w:w="10205"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2BBEBFB9" w14:textId="77777777" w:rsidR="009203EF" w:rsidRPr="000C135B" w:rsidRDefault="009203EF" w:rsidP="009203EF">
            <w:pPr>
              <w:spacing w:before="120" w:after="10" w:line="260" w:lineRule="exact"/>
              <w:ind w:left="57" w:right="-57"/>
              <w:rPr>
                <w:b/>
                <w:bCs/>
                <w:color w:val="000000"/>
              </w:rPr>
            </w:pPr>
            <w:r w:rsidRPr="000C135B">
              <w:rPr>
                <w:b/>
                <w:bCs/>
                <w:color w:val="000000"/>
              </w:rPr>
              <w:lastRenderedPageBreak/>
              <w:t>PRZYKŁAD INNEGO UKOŃCZONEGO PRZEDSIĘWZIĘCIA DEWELOPERSKIEGO</w:t>
            </w:r>
          </w:p>
        </w:tc>
      </w:tr>
      <w:tr w:rsidR="009203EF" w:rsidRPr="00015907" w14:paraId="10F9C89A" w14:textId="77777777" w:rsidTr="00C2585C">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2A70A707" w14:textId="77777777" w:rsidR="009203EF" w:rsidRPr="00480BCE" w:rsidRDefault="009203EF" w:rsidP="009203EF">
            <w:pPr>
              <w:spacing w:after="10" w:line="260" w:lineRule="exact"/>
              <w:ind w:left="57" w:right="-57"/>
            </w:pPr>
            <w:r w:rsidRPr="00480BCE">
              <w:t>Adres</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3EC46F97" w14:textId="1807DDE8"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15907" w14:paraId="5532024A" w14:textId="77777777" w:rsidTr="00C2585C">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59918021" w14:textId="77777777" w:rsidR="009203EF" w:rsidRPr="00480BCE" w:rsidRDefault="009203EF" w:rsidP="009203EF">
            <w:pPr>
              <w:spacing w:after="10" w:line="260" w:lineRule="exact"/>
              <w:ind w:left="57" w:right="-57"/>
            </w:pPr>
            <w:r w:rsidRPr="00480BCE">
              <w:t>Data rozpoczęcia</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3DED5711" w14:textId="0F000E2A"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15907" w14:paraId="4F4FB446" w14:textId="77777777" w:rsidTr="00C2585C">
        <w:tblPrEx>
          <w:tblCellMar>
            <w:left w:w="40" w:type="dxa"/>
            <w:right w:w="40" w:type="dxa"/>
          </w:tblCellMar>
        </w:tblPrEx>
        <w:trPr>
          <w:trHeight w:val="684"/>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A8EA5EC" w14:textId="77777777" w:rsidR="009203EF" w:rsidRPr="00480BCE" w:rsidRDefault="009203EF" w:rsidP="00682C21">
            <w:pPr>
              <w:spacing w:after="10" w:line="260" w:lineRule="exact"/>
              <w:ind w:left="57"/>
            </w:pPr>
            <w:r w:rsidRPr="000D126C">
              <w:t>Data wydania decyzji</w:t>
            </w:r>
            <w:r w:rsidR="00682C21">
              <w:br/>
            </w:r>
            <w:r w:rsidRPr="000D126C">
              <w:t>o pozwoleniu</w:t>
            </w:r>
            <w:r w:rsidR="00682C21">
              <w:t xml:space="preserve"> </w:t>
            </w:r>
            <w:r w:rsidRPr="000D126C">
              <w:t>na użytkowanie</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4D805528" w14:textId="49A8F876"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C135B" w14:paraId="55751AE6" w14:textId="77777777" w:rsidTr="00C2585C">
        <w:tblPrEx>
          <w:tblCellMar>
            <w:left w:w="40" w:type="dxa"/>
            <w:right w:w="40" w:type="dxa"/>
          </w:tblCellMar>
        </w:tblPrEx>
        <w:trPr>
          <w:trHeight w:val="794"/>
        </w:trPr>
        <w:tc>
          <w:tcPr>
            <w:tcW w:w="10205"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3FC3CBFA" w14:textId="77777777" w:rsidR="009203EF" w:rsidRPr="000C135B" w:rsidRDefault="009203EF" w:rsidP="009203EF">
            <w:pPr>
              <w:spacing w:before="120" w:after="10" w:line="260" w:lineRule="exact"/>
              <w:ind w:left="57" w:right="-57"/>
              <w:rPr>
                <w:b/>
                <w:bCs/>
                <w:color w:val="000000"/>
              </w:rPr>
            </w:pPr>
            <w:r w:rsidRPr="0014178B">
              <w:rPr>
                <w:b/>
                <w:bCs/>
                <w:color w:val="000000"/>
              </w:rPr>
              <w:t>PRZYKŁAD OSTATNIEGO UKOŃCZONEGO PRZEDSIĘWZIĘCIA DEWELOPERSKIEGO</w:t>
            </w:r>
          </w:p>
        </w:tc>
      </w:tr>
      <w:tr w:rsidR="009203EF" w:rsidRPr="00015907" w14:paraId="38B49051" w14:textId="77777777" w:rsidTr="00C2585C">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0895C4AC" w14:textId="77777777" w:rsidR="009203EF" w:rsidRPr="00480BCE" w:rsidRDefault="009203EF" w:rsidP="009203EF">
            <w:pPr>
              <w:spacing w:after="10" w:line="260" w:lineRule="exact"/>
              <w:ind w:left="57" w:right="-57"/>
            </w:pPr>
            <w:r w:rsidRPr="00480BCE">
              <w:t>Adres</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74A6A929" w14:textId="5AD2BFEA"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15907" w14:paraId="6A7D4AB3" w14:textId="77777777" w:rsidTr="00C2585C">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0211482C" w14:textId="77777777" w:rsidR="009203EF" w:rsidRPr="00480BCE" w:rsidRDefault="009203EF" w:rsidP="009203EF">
            <w:pPr>
              <w:spacing w:after="10" w:line="260" w:lineRule="exact"/>
              <w:ind w:left="57" w:right="-57"/>
            </w:pPr>
            <w:r w:rsidRPr="00480BCE">
              <w:t>Data rozpoczęcia</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6C0A842B" w14:textId="3214042A"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15907" w14:paraId="479DA3C1" w14:textId="77777777" w:rsidTr="00C2585C">
        <w:tblPrEx>
          <w:tblCellMar>
            <w:left w:w="40" w:type="dxa"/>
            <w:right w:w="40" w:type="dxa"/>
          </w:tblCellMar>
        </w:tblPrEx>
        <w:trPr>
          <w:trHeight w:val="670"/>
        </w:trPr>
        <w:tc>
          <w:tcPr>
            <w:tcW w:w="3082"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63A7A724" w14:textId="77777777" w:rsidR="009203EF" w:rsidRPr="00480BCE" w:rsidRDefault="009203EF" w:rsidP="00682C21">
            <w:pPr>
              <w:spacing w:after="10" w:line="260" w:lineRule="exact"/>
              <w:ind w:left="57"/>
            </w:pPr>
            <w:r w:rsidRPr="000D126C">
              <w:t>Data wydania decyzji</w:t>
            </w:r>
            <w:r w:rsidR="00682C21">
              <w:br/>
            </w:r>
            <w:r w:rsidRPr="000D126C">
              <w:t>o pozwoleniu</w:t>
            </w:r>
            <w:r w:rsidR="00682C21">
              <w:t xml:space="preserve"> </w:t>
            </w:r>
            <w:r w:rsidRPr="000D126C">
              <w:t>na użytkowanie</w:t>
            </w:r>
          </w:p>
        </w:tc>
        <w:tc>
          <w:tcPr>
            <w:tcW w:w="7123" w:type="dxa"/>
            <w:gridSpan w:val="3"/>
            <w:tcBorders>
              <w:top w:val="single" w:sz="6" w:space="0" w:color="auto"/>
              <w:left w:val="single" w:sz="6" w:space="0" w:color="auto"/>
              <w:bottom w:val="single" w:sz="12" w:space="0" w:color="auto"/>
              <w:right w:val="single" w:sz="12" w:space="0" w:color="auto"/>
            </w:tcBorders>
            <w:shd w:val="clear" w:color="auto" w:fill="FFFFFF"/>
          </w:tcPr>
          <w:p w14:paraId="31C4026B" w14:textId="79C1C734"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bl>
    <w:p w14:paraId="059FF7A3" w14:textId="77777777" w:rsidR="00A7314A" w:rsidRDefault="00A7314A" w:rsidP="00B66790"/>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892"/>
        <w:gridCol w:w="344"/>
        <w:gridCol w:w="3476"/>
        <w:gridCol w:w="3500"/>
      </w:tblGrid>
      <w:tr w:rsidR="009203EF" w:rsidRPr="00015907" w14:paraId="72DD8DF7" w14:textId="77777777" w:rsidTr="005C088E">
        <w:trPr>
          <w:trHeight w:val="1145"/>
        </w:trPr>
        <w:tc>
          <w:tcPr>
            <w:tcW w:w="2892" w:type="dxa"/>
            <w:tcBorders>
              <w:top w:val="single" w:sz="12" w:space="0" w:color="auto"/>
              <w:bottom w:val="single" w:sz="12" w:space="0" w:color="auto"/>
            </w:tcBorders>
            <w:shd w:val="clear" w:color="auto" w:fill="F2F2F2" w:themeFill="background1" w:themeFillShade="F2"/>
          </w:tcPr>
          <w:p w14:paraId="64EBD77E" w14:textId="77777777" w:rsidR="009203EF" w:rsidRPr="000C135B" w:rsidRDefault="009203EF" w:rsidP="00682C21">
            <w:pPr>
              <w:spacing w:before="60" w:after="10" w:line="240" w:lineRule="exact"/>
              <w:ind w:left="57" w:right="-57"/>
            </w:pPr>
            <w:r w:rsidRPr="0014178B">
              <w:t>Czy przeciwko deweloperowi prowadzono lub prowadzi się postępowania egzekucyjne</w:t>
            </w:r>
            <w:r w:rsidR="00682C21">
              <w:br/>
            </w:r>
            <w:r w:rsidRPr="0014178B">
              <w:t>na kwotę powyżej 100 000 zł</w:t>
            </w:r>
          </w:p>
        </w:tc>
        <w:tc>
          <w:tcPr>
            <w:tcW w:w="7320" w:type="dxa"/>
            <w:gridSpan w:val="3"/>
            <w:tcBorders>
              <w:top w:val="single" w:sz="12" w:space="0" w:color="auto"/>
              <w:bottom w:val="single" w:sz="12" w:space="0" w:color="auto"/>
            </w:tcBorders>
            <w:shd w:val="clear" w:color="auto" w:fill="FFFFFF"/>
          </w:tcPr>
          <w:p w14:paraId="46B6EE37" w14:textId="7224A870" w:rsidR="009203EF" w:rsidRPr="009203EF" w:rsidRDefault="00E21E27" w:rsidP="009203EF">
            <w:pPr>
              <w:shd w:val="clear" w:color="auto" w:fill="FFFFFF"/>
              <w:spacing w:before="30" w:line="270" w:lineRule="exact"/>
              <w:rPr>
                <w:rFonts w:ascii="Arial" w:hAnsi="Arial" w:cs="Arial"/>
                <w:b/>
                <w:sz w:val="21"/>
                <w:szCs w:val="21"/>
              </w:rPr>
            </w:pPr>
            <w:r w:rsidRPr="00E21E27">
              <w:rPr>
                <w:b/>
              </w:rPr>
              <w:t>Nie</w:t>
            </w:r>
          </w:p>
        </w:tc>
      </w:tr>
      <w:tr w:rsidR="009203EF" w:rsidRPr="000C135B" w14:paraId="5DB7C489" w14:textId="77777777" w:rsidTr="00B667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950"/>
        </w:trPr>
        <w:tc>
          <w:tcPr>
            <w:tcW w:w="10212" w:type="dxa"/>
            <w:gridSpan w:val="4"/>
            <w:vAlign w:val="bottom"/>
          </w:tcPr>
          <w:p w14:paraId="389C42B4" w14:textId="26DD531B" w:rsidR="009203EF" w:rsidRPr="000C135B" w:rsidRDefault="009203EF" w:rsidP="009203EF">
            <w:pPr>
              <w:spacing w:after="120" w:line="280" w:lineRule="exact"/>
              <w:ind w:left="975" w:right="-57" w:hanging="726"/>
              <w:rPr>
                <w:b/>
                <w:bCs/>
              </w:rPr>
            </w:pPr>
            <w:r w:rsidRPr="000C135B">
              <w:rPr>
                <w:b/>
                <w:bCs/>
              </w:rPr>
              <w:t>III.</w:t>
            </w:r>
            <w:r>
              <w:rPr>
                <w:b/>
                <w:bCs/>
              </w:rPr>
              <w:tab/>
            </w:r>
            <w:r w:rsidRPr="000C135B">
              <w:rPr>
                <w:b/>
                <w:bCs/>
              </w:rPr>
              <w:t>INFORMACJE DOTYCZĄCE NIERUCHOMOŚCI I PRZEDSIĘWZIĘCIA DEWELOPERSKIEGO</w:t>
            </w:r>
            <w:r w:rsidR="000F427A" w:rsidRPr="000F427A">
              <w:rPr>
                <w:rStyle w:val="Odwoanieprzypisudolnego"/>
              </w:rPr>
              <w:footnoteReference w:customMarkFollows="1" w:id="1"/>
              <w:t>43</w:t>
            </w:r>
            <w:r w:rsidR="000F427A" w:rsidRPr="000F427A">
              <w:rPr>
                <w:vertAlign w:val="superscript"/>
              </w:rPr>
              <w:t>)</w:t>
            </w:r>
          </w:p>
        </w:tc>
      </w:tr>
      <w:tr w:rsidR="009203EF" w:rsidRPr="00015907" w14:paraId="6BC643E1"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10212" w:type="dxa"/>
            <w:gridSpan w:val="4"/>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6DFBB11B" w14:textId="77777777" w:rsidR="009203EF" w:rsidRPr="000C135B" w:rsidRDefault="009203EF" w:rsidP="009203EF">
            <w:pPr>
              <w:spacing w:before="120" w:after="10" w:line="260" w:lineRule="exact"/>
              <w:ind w:left="57" w:right="-57"/>
              <w:rPr>
                <w:b/>
                <w:bCs/>
                <w:color w:val="000000"/>
              </w:rPr>
            </w:pPr>
            <w:r w:rsidRPr="0014178B">
              <w:rPr>
                <w:b/>
                <w:bCs/>
              </w:rPr>
              <w:t>INFORMACJE DOTYCZĄCE GRUNTU I ZAGOSPODAROWANIA PRZESTRZENNEGO TERENU</w:t>
            </w:r>
          </w:p>
        </w:tc>
      </w:tr>
      <w:tr w:rsidR="009203EF" w:rsidRPr="00015907" w14:paraId="3449413E"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026FE4F" w14:textId="77777777" w:rsidR="009203EF" w:rsidRPr="000C135B" w:rsidRDefault="009203EF" w:rsidP="00C867B8">
            <w:pPr>
              <w:spacing w:before="20" w:after="10" w:line="260" w:lineRule="exact"/>
              <w:ind w:left="57" w:right="-57"/>
            </w:pPr>
            <w:r w:rsidRPr="0014178B">
              <w:t>Adres, numer działki ewidencyjnej</w:t>
            </w:r>
            <w:r>
              <w:br/>
            </w:r>
            <w:r w:rsidRPr="0014178B">
              <w:t>i numer obrębu ewidencyjnego</w:t>
            </w:r>
            <w:r w:rsidRPr="0014178B">
              <w:rPr>
                <w:vertAlign w:val="superscript"/>
              </w:rPr>
              <w:footnoteReference w:id="2"/>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62F6E202" w14:textId="4595B5E8" w:rsidR="009203EF" w:rsidRPr="009203EF" w:rsidRDefault="00E21E27" w:rsidP="009203EF">
            <w:pPr>
              <w:shd w:val="clear" w:color="auto" w:fill="FFFFFF"/>
              <w:spacing w:before="30" w:line="270" w:lineRule="exact"/>
              <w:rPr>
                <w:rFonts w:ascii="Arial" w:hAnsi="Arial" w:cs="Arial"/>
                <w:b/>
                <w:sz w:val="21"/>
                <w:szCs w:val="21"/>
              </w:rPr>
            </w:pPr>
            <w:r w:rsidRPr="00E21E27">
              <w:t>DZIAŁKA O NUMERZE EWIDENCYJNYM 782 ZLOKALIZOWANA W ZAWISTY PODLEŚNE, GMINA MAŁKINIA GÓRNA, POWIAT OSTROWKSI, WOJEWÓDZTWO MAZOWIECKIE</w:t>
            </w:r>
          </w:p>
        </w:tc>
      </w:tr>
      <w:tr w:rsidR="009203EF" w:rsidRPr="00015907" w14:paraId="373E986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7958AB2E" w14:textId="77777777" w:rsidR="009203EF" w:rsidRPr="000C135B" w:rsidRDefault="009203EF" w:rsidP="00C867B8">
            <w:pPr>
              <w:spacing w:before="20" w:after="10" w:line="260" w:lineRule="exact"/>
              <w:ind w:left="57" w:right="-57"/>
            </w:pPr>
            <w:r w:rsidRPr="000C135B">
              <w:t>Nr księgi wieczystej</w:t>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59AC04BC" w14:textId="346385FB" w:rsidR="009203EF" w:rsidRPr="009203EF" w:rsidRDefault="00E21E27" w:rsidP="009203EF">
            <w:pPr>
              <w:shd w:val="clear" w:color="auto" w:fill="FFFFFF"/>
              <w:spacing w:before="30" w:line="270" w:lineRule="exact"/>
              <w:rPr>
                <w:rFonts w:ascii="Arial" w:hAnsi="Arial" w:cs="Arial"/>
                <w:b/>
                <w:sz w:val="21"/>
                <w:szCs w:val="21"/>
              </w:rPr>
            </w:pPr>
            <w:r w:rsidRPr="00E21E27">
              <w:t>OS1M/00073301/1</w:t>
            </w:r>
          </w:p>
        </w:tc>
      </w:tr>
      <w:tr w:rsidR="009203EF" w:rsidRPr="00015907" w14:paraId="3D188847"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3"/>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7769AE23" w14:textId="77777777" w:rsidR="009203EF" w:rsidRPr="000C135B" w:rsidRDefault="009203EF" w:rsidP="00C867B8">
            <w:pPr>
              <w:spacing w:before="20" w:after="10" w:line="260" w:lineRule="exact"/>
              <w:ind w:left="57" w:right="-57"/>
            </w:pPr>
            <w:r w:rsidRPr="000C135B">
              <w:t>Istniejące obciążenia hipoteczne</w:t>
            </w:r>
            <w:r w:rsidRPr="000C135B">
              <w:br/>
              <w:t>nieruchomości lub wnioski o wpis</w:t>
            </w:r>
            <w:r w:rsidRPr="000C135B">
              <w:br/>
              <w:t>w dziale czwartym księgi wieczystej</w:t>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2C4A652F" w14:textId="0E1B02AE"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15907" w14:paraId="6C63F457"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1"/>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7130DB37" w14:textId="77777777" w:rsidR="009203EF" w:rsidRPr="000C135B" w:rsidRDefault="009203EF" w:rsidP="00C867B8">
            <w:pPr>
              <w:spacing w:before="20" w:after="10" w:line="260" w:lineRule="exact"/>
              <w:ind w:left="57" w:right="-57"/>
            </w:pPr>
            <w:r w:rsidRPr="000C135B">
              <w:t xml:space="preserve">W przypadku braku księgi </w:t>
            </w:r>
            <w:r>
              <w:br/>
            </w:r>
            <w:r w:rsidRPr="000C135B">
              <w:t>wieczystej informacja</w:t>
            </w:r>
            <w:r w:rsidR="003133B6">
              <w:br/>
            </w:r>
            <w:r w:rsidRPr="000C135B">
              <w:t>o powierzchni</w:t>
            </w:r>
            <w:r w:rsidR="003133B6">
              <w:t xml:space="preserve"> </w:t>
            </w:r>
            <w:r w:rsidRPr="000C135B">
              <w:t>działki i stanie prawnym nieruchomości</w:t>
            </w:r>
            <w:r w:rsidRPr="0014178B">
              <w:rPr>
                <w:vertAlign w:val="superscript"/>
              </w:rPr>
              <w:footnoteReference w:id="3"/>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7A56BB7F" w14:textId="078B1E94" w:rsidR="009203EF" w:rsidRPr="009203EF" w:rsidRDefault="00E21E27" w:rsidP="009203EF">
            <w:pPr>
              <w:shd w:val="clear" w:color="auto" w:fill="FFFFFF"/>
              <w:spacing w:before="30" w:line="270" w:lineRule="exact"/>
              <w:rPr>
                <w:rFonts w:ascii="Arial" w:hAnsi="Arial" w:cs="Arial"/>
                <w:b/>
                <w:sz w:val="21"/>
                <w:szCs w:val="21"/>
              </w:rPr>
            </w:pPr>
            <w:r w:rsidRPr="00E21E27">
              <w:t>NIE DOTYCZY</w:t>
            </w:r>
          </w:p>
        </w:tc>
      </w:tr>
      <w:tr w:rsidR="009203EF" w:rsidRPr="00015907" w14:paraId="686EC9F3"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2892" w:type="dxa"/>
            <w:vMerge w:val="restart"/>
            <w:tcBorders>
              <w:top w:val="single" w:sz="6" w:space="0" w:color="auto"/>
              <w:left w:val="single" w:sz="12" w:space="0" w:color="auto"/>
              <w:right w:val="single" w:sz="6" w:space="0" w:color="auto"/>
            </w:tcBorders>
            <w:shd w:val="clear" w:color="auto" w:fill="F2F2F2" w:themeFill="background1" w:themeFillShade="F2"/>
          </w:tcPr>
          <w:p w14:paraId="51A19B86" w14:textId="2703AA56" w:rsidR="009203EF" w:rsidRPr="000C135B" w:rsidRDefault="009203EF" w:rsidP="00C867B8">
            <w:pPr>
              <w:spacing w:before="20" w:after="10" w:line="260" w:lineRule="exact"/>
              <w:ind w:left="57" w:right="-57"/>
            </w:pPr>
            <w:r w:rsidRPr="0014178B">
              <w:t>Informacje dotyczące obiektów</w:t>
            </w:r>
            <w:r>
              <w:br/>
            </w:r>
            <w:r w:rsidRPr="0014178B">
              <w:t>istniejących położonych</w:t>
            </w:r>
            <w:r w:rsidR="000F427A">
              <w:t xml:space="preserve"> </w:t>
            </w:r>
            <w:r w:rsidR="000F427A">
              <w:br/>
            </w:r>
            <w:r w:rsidRPr="0014178B">
              <w:t>w sąsiedztwie inwestycji</w:t>
            </w:r>
            <w:r>
              <w:br/>
            </w:r>
            <w:r w:rsidRPr="0014178B">
              <w:t>i wpływających na warunki życia</w:t>
            </w:r>
            <w:r w:rsidRPr="0014178B">
              <w:rPr>
                <w:vertAlign w:val="superscript"/>
              </w:rPr>
              <w:footnoteReference w:id="4"/>
            </w:r>
          </w:p>
        </w:tc>
        <w:tc>
          <w:tcPr>
            <w:tcW w:w="7320" w:type="dxa"/>
            <w:gridSpan w:val="3"/>
            <w:tcBorders>
              <w:top w:val="single" w:sz="6" w:space="0" w:color="auto"/>
              <w:left w:val="single" w:sz="6" w:space="0" w:color="auto"/>
              <w:right w:val="single" w:sz="12" w:space="0" w:color="auto"/>
            </w:tcBorders>
            <w:shd w:val="clear" w:color="auto" w:fill="FFFFFF"/>
          </w:tcPr>
          <w:p w14:paraId="3FD84F80" w14:textId="7ADDC48E" w:rsidR="009203EF" w:rsidRPr="009203EF" w:rsidRDefault="00E21E27" w:rsidP="009203EF">
            <w:pPr>
              <w:shd w:val="clear" w:color="auto" w:fill="FFFFFF"/>
              <w:spacing w:before="30" w:line="270" w:lineRule="exact"/>
              <w:rPr>
                <w:rFonts w:ascii="Arial" w:hAnsi="Arial" w:cs="Arial"/>
                <w:b/>
                <w:sz w:val="21"/>
                <w:szCs w:val="21"/>
              </w:rPr>
            </w:pPr>
            <w:r w:rsidRPr="00E21E27">
              <w:t>W sąsiedztwie inwestycji znajduje się osiedle domów jednorodzinnych. A także droga powiatowa o umiarkowanym natężeniu ruchu</w:t>
            </w:r>
          </w:p>
        </w:tc>
      </w:tr>
      <w:tr w:rsidR="00576CE9" w:rsidRPr="00015907" w14:paraId="6288F3D6"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rPr>
        <w:tc>
          <w:tcPr>
            <w:tcW w:w="2892" w:type="dxa"/>
            <w:vMerge/>
            <w:tcBorders>
              <w:left w:val="single" w:sz="12" w:space="0" w:color="auto"/>
              <w:bottom w:val="single" w:sz="6" w:space="0" w:color="auto"/>
              <w:right w:val="single" w:sz="6" w:space="0" w:color="auto"/>
            </w:tcBorders>
            <w:shd w:val="clear" w:color="auto" w:fill="F2F2F2" w:themeFill="background1" w:themeFillShade="F2"/>
            <w:vAlign w:val="center"/>
          </w:tcPr>
          <w:p w14:paraId="7D46510E" w14:textId="77777777" w:rsidR="00576CE9" w:rsidRPr="0014178B" w:rsidRDefault="00576CE9" w:rsidP="00576CE9">
            <w:pPr>
              <w:spacing w:after="10" w:line="260" w:lineRule="exact"/>
              <w:ind w:left="57"/>
            </w:pPr>
          </w:p>
        </w:tc>
        <w:tc>
          <w:tcPr>
            <w:tcW w:w="7320" w:type="dxa"/>
            <w:gridSpan w:val="3"/>
            <w:tcBorders>
              <w:left w:val="single" w:sz="6" w:space="0" w:color="auto"/>
              <w:bottom w:val="single" w:sz="6" w:space="0" w:color="auto"/>
              <w:right w:val="single" w:sz="12" w:space="0" w:color="auto"/>
            </w:tcBorders>
            <w:shd w:val="clear" w:color="auto" w:fill="FFFFFF"/>
          </w:tcPr>
          <w:p w14:paraId="0DA087DD" w14:textId="41B1D195" w:rsidR="00576CE9" w:rsidRPr="0014178B" w:rsidRDefault="00576CE9" w:rsidP="003133B6">
            <w:pPr>
              <w:shd w:val="clear" w:color="auto" w:fill="FFFFFF"/>
              <w:spacing w:before="30" w:line="270" w:lineRule="exact"/>
            </w:pPr>
          </w:p>
        </w:tc>
      </w:tr>
      <w:tr w:rsidR="00576CE9" w:rsidRPr="00015907" w14:paraId="42C208B7"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6"/>
        </w:trPr>
        <w:tc>
          <w:tcPr>
            <w:tcW w:w="2892" w:type="dxa"/>
            <w:vMerge w:val="restart"/>
            <w:tcBorders>
              <w:top w:val="single" w:sz="6" w:space="0" w:color="auto"/>
              <w:left w:val="single" w:sz="12" w:space="0" w:color="auto"/>
              <w:right w:val="single" w:sz="6" w:space="0" w:color="auto"/>
            </w:tcBorders>
            <w:shd w:val="clear" w:color="auto" w:fill="F2F2F2" w:themeFill="background1" w:themeFillShade="F2"/>
          </w:tcPr>
          <w:p w14:paraId="3AFF4EAE" w14:textId="77777777" w:rsidR="00576CE9" w:rsidRPr="00333135" w:rsidRDefault="00576CE9" w:rsidP="00C867B8">
            <w:pPr>
              <w:spacing w:before="20" w:after="10" w:line="260" w:lineRule="exact"/>
              <w:ind w:left="57" w:right="-57"/>
            </w:pPr>
            <w:r w:rsidRPr="00576CE9">
              <w:lastRenderedPageBreak/>
              <w:t>Akty planowania przestrzennego</w:t>
            </w:r>
            <w:r>
              <w:br/>
            </w:r>
            <w:r w:rsidRPr="00576CE9">
              <w:t>i inne akty prawne na terenie</w:t>
            </w:r>
            <w:r>
              <w:br/>
            </w:r>
            <w:r w:rsidRPr="00576CE9">
              <w:t>objętym przedsięwzięciem</w:t>
            </w:r>
            <w:r>
              <w:br/>
            </w:r>
            <w:r w:rsidRPr="00576CE9">
              <w:t>deweloperskim lub zadaniem</w:t>
            </w:r>
            <w:r>
              <w:br/>
            </w:r>
            <w:r w:rsidRPr="00576CE9">
              <w:t>inwestycyjnym</w:t>
            </w: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6F7A3F4D" w14:textId="77777777" w:rsidR="00576CE9" w:rsidRPr="00B66790" w:rsidRDefault="00576CE9" w:rsidP="00576CE9">
            <w:pPr>
              <w:shd w:val="clear" w:color="auto" w:fill="FFFFFF"/>
              <w:spacing w:before="20" w:after="10" w:line="260" w:lineRule="exact"/>
              <w:ind w:left="79" w:right="57"/>
            </w:pPr>
            <w:r w:rsidRPr="00576CE9">
              <w:t>Plan ogólny gminy</w:t>
            </w:r>
          </w:p>
        </w:tc>
        <w:tc>
          <w:tcPr>
            <w:tcW w:w="3500" w:type="dxa"/>
            <w:vMerge w:val="restart"/>
            <w:tcBorders>
              <w:top w:val="single" w:sz="6" w:space="0" w:color="auto"/>
              <w:left w:val="single" w:sz="6" w:space="0" w:color="auto"/>
              <w:right w:val="single" w:sz="12" w:space="0" w:color="auto"/>
            </w:tcBorders>
            <w:shd w:val="clear" w:color="auto" w:fill="FFFFFF"/>
          </w:tcPr>
          <w:p w14:paraId="600DEB8B" w14:textId="26F527D4" w:rsidR="00393B89" w:rsidRPr="00393B89" w:rsidRDefault="00393B89" w:rsidP="00393B89">
            <w:pPr>
              <w:spacing w:beforeLines="60" w:before="144" w:afterLines="60" w:after="144"/>
              <w:jc w:val="both"/>
              <w:rPr>
                <w:lang w:eastAsia="en-US"/>
              </w:rPr>
            </w:pPr>
            <w:r w:rsidRPr="00393B89">
              <w:rPr>
                <w:lang w:eastAsia="en-US"/>
              </w:rPr>
              <w:t xml:space="preserve">Uchwała Rady Gminy Nr 379/XLIX w sprawie Studium Uwarunkowań i Kierunków Zagospodarowania Przestrzennego Gminy Małkinia Górna z dnia 31 marca 2023 r. </w:t>
            </w:r>
            <w:hyperlink r:id="rId8" w:history="1">
              <w:r w:rsidRPr="00393B89">
                <w:rPr>
                  <w:rStyle w:val="Hipercze"/>
                  <w:lang w:eastAsia="en-US"/>
                </w:rPr>
                <w:t>https://malkiniagorna.e-mapa.net/</w:t>
              </w:r>
            </w:hyperlink>
          </w:p>
          <w:p w14:paraId="393CBABE" w14:textId="4D97117B" w:rsidR="009D2646" w:rsidRPr="009D2646" w:rsidRDefault="009D2646" w:rsidP="009D2646">
            <w:pPr>
              <w:spacing w:beforeLines="60" w:before="144" w:afterLines="60" w:after="144"/>
              <w:jc w:val="both"/>
              <w:rPr>
                <w:lang w:eastAsia="en-US"/>
              </w:rPr>
            </w:pPr>
            <w:r w:rsidRPr="009D2646">
              <w:rPr>
                <w:lang w:eastAsia="en-US"/>
              </w:rPr>
              <w:t>Uchwała Rady Gminy Małkinia Górna Nr 200/XXVI/2020 w sprawie z dnia 15 grudnia 2020 r. w sprawie zmiany miejscowego planu zagospodarowania przestrzennego dla miejscowości Zawisty Podleśne gmina Małkinia Górna w części dotyczącej działek o numerach ewidencyjnych 618, 619, 620, 621, 622/1 i 623</w:t>
            </w:r>
            <w:r>
              <w:rPr>
                <w:lang w:eastAsia="en-US"/>
              </w:rPr>
              <w:t xml:space="preserve"> </w:t>
            </w:r>
            <w:hyperlink r:id="rId9" w:history="1">
              <w:r w:rsidRPr="009D2646">
                <w:rPr>
                  <w:color w:val="0563C1"/>
                  <w:u w:val="single"/>
                  <w:lang w:eastAsia="en-US"/>
                </w:rPr>
                <w:t>https://malkiniagorna.e-mapa.net/</w:t>
              </w:r>
            </w:hyperlink>
          </w:p>
          <w:p w14:paraId="68C275B5" w14:textId="69D4EF33" w:rsidR="009D2646" w:rsidRDefault="009D2646" w:rsidP="009D2646">
            <w:pPr>
              <w:spacing w:beforeLines="60" w:before="144" w:afterLines="60" w:after="144"/>
              <w:jc w:val="both"/>
              <w:rPr>
                <w:lang w:eastAsia="en-US"/>
              </w:rPr>
            </w:pPr>
          </w:p>
          <w:p w14:paraId="36781EA7" w14:textId="77777777" w:rsidR="009D2646" w:rsidRPr="009D2646" w:rsidRDefault="009D2646" w:rsidP="009D2646">
            <w:pPr>
              <w:spacing w:beforeLines="60" w:before="144" w:afterLines="60" w:after="144"/>
              <w:jc w:val="both"/>
              <w:rPr>
                <w:lang w:eastAsia="en-US"/>
              </w:rPr>
            </w:pPr>
          </w:p>
          <w:p w14:paraId="0DF9C7D6" w14:textId="77777777" w:rsidR="00576CE9" w:rsidRDefault="005A73B5" w:rsidP="00576CE9">
            <w:pPr>
              <w:shd w:val="clear" w:color="auto" w:fill="FFFFFF"/>
              <w:spacing w:before="60" w:line="270" w:lineRule="exact"/>
            </w:pPr>
            <w:r w:rsidRPr="00E21E27">
              <w:t>NIE DOTYCZY</w:t>
            </w:r>
          </w:p>
          <w:p w14:paraId="7A00C19E" w14:textId="77777777" w:rsidR="005A73B5" w:rsidRPr="005A73B5" w:rsidRDefault="005A73B5" w:rsidP="005A73B5"/>
          <w:p w14:paraId="3D67F3AA" w14:textId="77777777" w:rsidR="005A73B5" w:rsidRPr="005A73B5" w:rsidRDefault="005A73B5" w:rsidP="005A73B5"/>
          <w:p w14:paraId="68A3658E" w14:textId="77777777" w:rsidR="005A73B5" w:rsidRPr="005A73B5" w:rsidRDefault="005A73B5" w:rsidP="005A73B5"/>
          <w:p w14:paraId="312C98C1" w14:textId="77777777" w:rsidR="005A73B5" w:rsidRPr="005A73B5" w:rsidRDefault="005A73B5" w:rsidP="005A73B5"/>
          <w:p w14:paraId="1D196857" w14:textId="77777777" w:rsidR="005A73B5" w:rsidRPr="005A73B5" w:rsidRDefault="005A73B5" w:rsidP="005A73B5"/>
          <w:p w14:paraId="7B2C0607" w14:textId="77777777" w:rsidR="005A73B5" w:rsidRPr="005A73B5" w:rsidRDefault="005A73B5" w:rsidP="005A73B5"/>
          <w:p w14:paraId="324D22B1" w14:textId="77777777" w:rsidR="005A73B5" w:rsidRDefault="005A73B5" w:rsidP="005A73B5"/>
          <w:p w14:paraId="5E461C8C" w14:textId="1A786D8E" w:rsidR="005A73B5" w:rsidRPr="005A73B5" w:rsidRDefault="005A73B5" w:rsidP="005A73B5">
            <w:r w:rsidRPr="00E21E27">
              <w:t>NIE DOTYCZY</w:t>
            </w:r>
          </w:p>
        </w:tc>
      </w:tr>
      <w:tr w:rsidR="00576CE9" w:rsidRPr="00015907" w14:paraId="2C18EA52"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8"/>
        </w:trPr>
        <w:tc>
          <w:tcPr>
            <w:tcW w:w="2892" w:type="dxa"/>
            <w:vMerge/>
            <w:tcBorders>
              <w:left w:val="single" w:sz="12" w:space="0" w:color="auto"/>
              <w:right w:val="single" w:sz="6" w:space="0" w:color="auto"/>
            </w:tcBorders>
            <w:shd w:val="clear" w:color="auto" w:fill="F2F2F2" w:themeFill="background1" w:themeFillShade="F2"/>
          </w:tcPr>
          <w:p w14:paraId="28D536DD" w14:textId="77777777" w:rsidR="00576CE9" w:rsidRPr="00B66790" w:rsidRDefault="00576CE9" w:rsidP="00C867B8">
            <w:pPr>
              <w:spacing w:before="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16A682B8" w14:textId="77777777" w:rsidR="00576CE9" w:rsidRPr="005303DC" w:rsidRDefault="00576CE9" w:rsidP="003133B6">
            <w:pPr>
              <w:shd w:val="clear" w:color="auto" w:fill="FFFFFF"/>
              <w:spacing w:before="20" w:after="10" w:line="260" w:lineRule="exact"/>
              <w:ind w:left="79" w:right="57"/>
            </w:pPr>
            <w:r w:rsidRPr="005303DC">
              <w:t>Miejscowy plan zagospodarowania przestrzennego</w:t>
            </w:r>
          </w:p>
        </w:tc>
        <w:tc>
          <w:tcPr>
            <w:tcW w:w="3500" w:type="dxa"/>
            <w:vMerge/>
            <w:tcBorders>
              <w:left w:val="single" w:sz="6" w:space="0" w:color="auto"/>
              <w:right w:val="single" w:sz="12" w:space="0" w:color="auto"/>
            </w:tcBorders>
            <w:shd w:val="clear" w:color="auto" w:fill="FFFFFF"/>
          </w:tcPr>
          <w:p w14:paraId="0CF19CCC" w14:textId="77777777" w:rsidR="00576CE9" w:rsidRPr="009203EF" w:rsidRDefault="00576CE9" w:rsidP="00576CE9">
            <w:pPr>
              <w:shd w:val="clear" w:color="auto" w:fill="FFFFFF"/>
              <w:spacing w:before="30" w:line="270" w:lineRule="exact"/>
              <w:rPr>
                <w:rFonts w:ascii="Arial" w:hAnsi="Arial" w:cs="Arial"/>
                <w:b/>
                <w:sz w:val="21"/>
                <w:szCs w:val="21"/>
              </w:rPr>
            </w:pPr>
          </w:p>
        </w:tc>
      </w:tr>
      <w:tr w:rsidR="00576CE9" w:rsidRPr="00015907" w14:paraId="34B3495E"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4"/>
        </w:trPr>
        <w:tc>
          <w:tcPr>
            <w:tcW w:w="2892" w:type="dxa"/>
            <w:tcBorders>
              <w:left w:val="single" w:sz="12" w:space="0" w:color="auto"/>
              <w:right w:val="single" w:sz="6" w:space="0" w:color="auto"/>
            </w:tcBorders>
            <w:shd w:val="clear" w:color="auto" w:fill="F2F2F2" w:themeFill="background1" w:themeFillShade="F2"/>
          </w:tcPr>
          <w:p w14:paraId="52E205B5" w14:textId="77777777" w:rsidR="00576CE9" w:rsidRPr="00B66790" w:rsidRDefault="00576CE9" w:rsidP="00C867B8">
            <w:pPr>
              <w:spacing w:before="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4401DA41" w14:textId="77777777" w:rsidR="00576CE9" w:rsidRPr="005303DC" w:rsidRDefault="00576CE9" w:rsidP="00576CE9">
            <w:pPr>
              <w:shd w:val="clear" w:color="auto" w:fill="FFFFFF"/>
              <w:spacing w:before="20" w:after="10" w:line="260" w:lineRule="exact"/>
              <w:ind w:left="79" w:right="57"/>
            </w:pPr>
            <w:r w:rsidRPr="005303DC">
              <w:t>Miejscowy plan odbudowy</w:t>
            </w:r>
          </w:p>
        </w:tc>
        <w:tc>
          <w:tcPr>
            <w:tcW w:w="3500" w:type="dxa"/>
            <w:vMerge/>
            <w:tcBorders>
              <w:left w:val="single" w:sz="6" w:space="0" w:color="auto"/>
              <w:right w:val="single" w:sz="12" w:space="0" w:color="auto"/>
            </w:tcBorders>
            <w:shd w:val="clear" w:color="auto" w:fill="FFFFFF"/>
          </w:tcPr>
          <w:p w14:paraId="161EBFDD" w14:textId="77777777" w:rsidR="00576CE9" w:rsidRPr="00C4589E" w:rsidRDefault="00576CE9" w:rsidP="00576CE9">
            <w:pPr>
              <w:shd w:val="clear" w:color="auto" w:fill="FFFFFF"/>
              <w:spacing w:before="30" w:line="270" w:lineRule="exact"/>
              <w:rPr>
                <w:rFonts w:ascii="Arial" w:hAnsi="Arial" w:cs="Arial"/>
                <w:b/>
                <w:sz w:val="22"/>
                <w:szCs w:val="22"/>
              </w:rPr>
            </w:pPr>
          </w:p>
        </w:tc>
      </w:tr>
      <w:tr w:rsidR="00576CE9" w:rsidRPr="00015907" w14:paraId="2184315F"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tcBorders>
              <w:left w:val="single" w:sz="12" w:space="0" w:color="auto"/>
              <w:right w:val="single" w:sz="6" w:space="0" w:color="auto"/>
            </w:tcBorders>
            <w:shd w:val="clear" w:color="auto" w:fill="F2F2F2" w:themeFill="background1" w:themeFillShade="F2"/>
          </w:tcPr>
          <w:p w14:paraId="5D126AF2" w14:textId="77777777" w:rsidR="00576CE9" w:rsidRPr="00B66790" w:rsidRDefault="00576CE9" w:rsidP="00C867B8">
            <w:pPr>
              <w:spacing w:before="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269DB0EA" w14:textId="77777777" w:rsidR="00576CE9" w:rsidRPr="005303DC" w:rsidRDefault="00576CE9" w:rsidP="00576CE9">
            <w:pPr>
              <w:shd w:val="clear" w:color="auto" w:fill="FFFFFF"/>
              <w:spacing w:before="20" w:after="10" w:line="260" w:lineRule="exact"/>
              <w:ind w:left="79" w:right="57"/>
            </w:pPr>
            <w:r w:rsidRPr="005303DC">
              <w:t>Inne</w:t>
            </w:r>
            <w:r w:rsidRPr="0014178B">
              <w:rPr>
                <w:vertAlign w:val="superscript"/>
              </w:rPr>
              <w:footnoteReference w:id="5"/>
            </w:r>
          </w:p>
        </w:tc>
        <w:tc>
          <w:tcPr>
            <w:tcW w:w="3500" w:type="dxa"/>
            <w:vMerge/>
            <w:tcBorders>
              <w:left w:val="single" w:sz="6" w:space="0" w:color="auto"/>
              <w:right w:val="single" w:sz="12" w:space="0" w:color="auto"/>
            </w:tcBorders>
            <w:shd w:val="clear" w:color="auto" w:fill="FFFFFF"/>
          </w:tcPr>
          <w:p w14:paraId="0A98C32C" w14:textId="77777777" w:rsidR="00576CE9" w:rsidRPr="00C4589E" w:rsidRDefault="00576CE9" w:rsidP="00576CE9">
            <w:pPr>
              <w:shd w:val="clear" w:color="auto" w:fill="FFFFFF"/>
              <w:spacing w:before="30" w:line="270" w:lineRule="exact"/>
              <w:rPr>
                <w:rFonts w:ascii="Arial" w:hAnsi="Arial" w:cs="Arial"/>
                <w:b/>
                <w:sz w:val="22"/>
                <w:szCs w:val="22"/>
              </w:rPr>
            </w:pPr>
          </w:p>
        </w:tc>
      </w:tr>
      <w:tr w:rsidR="00576CE9" w:rsidRPr="00015907" w14:paraId="67D95589"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vMerge w:val="restart"/>
            <w:tcBorders>
              <w:top w:val="single" w:sz="6" w:space="0" w:color="auto"/>
              <w:left w:val="single" w:sz="12" w:space="0" w:color="auto"/>
              <w:right w:val="single" w:sz="6" w:space="0" w:color="auto"/>
            </w:tcBorders>
            <w:shd w:val="clear" w:color="auto" w:fill="F2F2F2" w:themeFill="background1" w:themeFillShade="F2"/>
          </w:tcPr>
          <w:p w14:paraId="6766E0CD" w14:textId="77777777" w:rsidR="00576CE9" w:rsidRPr="00333135" w:rsidRDefault="00576CE9" w:rsidP="00C867B8">
            <w:pPr>
              <w:spacing w:before="20" w:after="10" w:line="260" w:lineRule="exact"/>
              <w:ind w:left="57" w:right="-57"/>
            </w:pPr>
            <w:r w:rsidRPr="005303DC">
              <w:t>Ustalenia obowiązującego miejscowego planu</w:t>
            </w:r>
            <w:r>
              <w:br/>
            </w:r>
            <w:r w:rsidRPr="005303DC">
              <w:t>zagospodarowania przestrzennego</w:t>
            </w:r>
            <w:r>
              <w:br/>
            </w:r>
            <w:r w:rsidRPr="005303DC">
              <w:t>dla terenu objętego</w:t>
            </w:r>
            <w:r>
              <w:br/>
            </w:r>
            <w:r w:rsidRPr="005303DC">
              <w:t>przedsięwzięciem deweloperskim</w:t>
            </w:r>
            <w:r>
              <w:br/>
            </w:r>
            <w:r w:rsidRPr="005303DC">
              <w:t>lub zadaniem inwestycyjnym</w:t>
            </w: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70CB09C3" w14:textId="77777777" w:rsidR="00576CE9" w:rsidRPr="00B66790" w:rsidRDefault="00576CE9" w:rsidP="00576CE9">
            <w:pPr>
              <w:shd w:val="clear" w:color="auto" w:fill="FFFFFF"/>
              <w:spacing w:before="20" w:after="10" w:line="260" w:lineRule="exact"/>
              <w:ind w:left="79" w:right="57"/>
            </w:pPr>
            <w:r w:rsidRPr="005303DC">
              <w:t>Przeznaczenie terenu</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38427042" w14:textId="3AA76C90" w:rsidR="00576CE9" w:rsidRPr="009203EF" w:rsidRDefault="00E21E27" w:rsidP="00576CE9">
            <w:pPr>
              <w:shd w:val="clear" w:color="auto" w:fill="FFFFFF"/>
              <w:spacing w:before="30" w:line="270" w:lineRule="exact"/>
              <w:rPr>
                <w:rFonts w:ascii="Arial" w:hAnsi="Arial" w:cs="Arial"/>
                <w:b/>
                <w:sz w:val="21"/>
                <w:szCs w:val="21"/>
              </w:rPr>
            </w:pPr>
            <w:r w:rsidRPr="00E21E27">
              <w:t>Teren zabudowy mieszkaniowej jednorodzinnej lub usług z zastrzeżeniem zakazu realizacji usług w zakresie: myjni samochodowych, warsztatów samochodowych, stacji obsługi pojazdów i stacji paliw; dla usług handlu detalicznego ograniczenie powierzchni sprzedaży do 300 m²</w:t>
            </w:r>
          </w:p>
        </w:tc>
      </w:tr>
      <w:tr w:rsidR="00576CE9" w:rsidRPr="00015907" w14:paraId="3B1579C6"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2892" w:type="dxa"/>
            <w:vMerge/>
            <w:tcBorders>
              <w:left w:val="single" w:sz="12" w:space="0" w:color="auto"/>
              <w:right w:val="single" w:sz="6" w:space="0" w:color="auto"/>
            </w:tcBorders>
            <w:shd w:val="clear" w:color="auto" w:fill="F2F2F2" w:themeFill="background1" w:themeFillShade="F2"/>
          </w:tcPr>
          <w:p w14:paraId="17B36681" w14:textId="77777777" w:rsidR="00576CE9" w:rsidRPr="00B66790" w:rsidRDefault="00576CE9" w:rsidP="00576CE9">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58700E65" w14:textId="77777777" w:rsidR="00576CE9" w:rsidRPr="005303DC" w:rsidRDefault="00576CE9" w:rsidP="00576CE9">
            <w:pPr>
              <w:shd w:val="clear" w:color="auto" w:fill="FFFFFF"/>
              <w:spacing w:before="20" w:after="10" w:line="260" w:lineRule="exact"/>
              <w:ind w:left="79" w:right="57"/>
            </w:pPr>
            <w:r w:rsidRPr="00576CE9">
              <w:t>Maksymalna intensywność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5DE526FC" w14:textId="48229AF9" w:rsidR="00576CE9" w:rsidRPr="009203EF" w:rsidRDefault="00E21E27" w:rsidP="00576CE9">
            <w:pPr>
              <w:shd w:val="clear" w:color="auto" w:fill="FFFFFF"/>
              <w:spacing w:before="30" w:line="270" w:lineRule="exact"/>
              <w:rPr>
                <w:rFonts w:ascii="Arial" w:hAnsi="Arial" w:cs="Arial"/>
                <w:b/>
                <w:sz w:val="21"/>
                <w:szCs w:val="21"/>
              </w:rPr>
            </w:pPr>
            <w:r w:rsidRPr="00E21E27">
              <w:t>Maksymalny wskaźnik intensywności zabudowy: 1,8 dla działki budowlanej</w:t>
            </w:r>
          </w:p>
        </w:tc>
      </w:tr>
      <w:tr w:rsidR="00576CE9" w:rsidRPr="00015907" w14:paraId="5987565E"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2892" w:type="dxa"/>
            <w:vMerge/>
            <w:tcBorders>
              <w:left w:val="single" w:sz="12" w:space="0" w:color="auto"/>
              <w:right w:val="single" w:sz="6" w:space="0" w:color="auto"/>
            </w:tcBorders>
            <w:shd w:val="clear" w:color="auto" w:fill="F2F2F2" w:themeFill="background1" w:themeFillShade="F2"/>
          </w:tcPr>
          <w:p w14:paraId="41ED6DCE" w14:textId="77777777" w:rsidR="00576CE9" w:rsidRPr="00B66790" w:rsidRDefault="00576CE9" w:rsidP="00576CE9">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4C9A5F9C" w14:textId="77777777" w:rsidR="00576CE9" w:rsidRPr="00576CE9" w:rsidRDefault="00576CE9" w:rsidP="00576CE9">
            <w:pPr>
              <w:shd w:val="clear" w:color="auto" w:fill="FFFFFF"/>
              <w:spacing w:before="20" w:after="10" w:line="260" w:lineRule="exact"/>
              <w:ind w:left="79" w:right="57"/>
            </w:pPr>
            <w:r w:rsidRPr="00576CE9">
              <w:t>Maksymalna i minimalna nadziemna intensywność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2262A02" w14:textId="77777777" w:rsidR="00E21E27" w:rsidRPr="00E21E27" w:rsidRDefault="00E21E27" w:rsidP="00E21E27">
            <w:pPr>
              <w:spacing w:beforeLines="60" w:before="144" w:afterLines="60" w:after="144"/>
              <w:jc w:val="both"/>
              <w:rPr>
                <w:lang w:eastAsia="en-US"/>
              </w:rPr>
            </w:pPr>
            <w:r w:rsidRPr="00E21E27">
              <w:rPr>
                <w:lang w:eastAsia="en-US"/>
              </w:rPr>
              <w:t xml:space="preserve">Maksymalny wskaźnik intensywności zabudowy: 1,8 dla działki budowlanej </w:t>
            </w:r>
          </w:p>
          <w:p w14:paraId="5952D377" w14:textId="6D268C3B" w:rsidR="00576CE9" w:rsidRPr="009203EF" w:rsidRDefault="00E21E27" w:rsidP="00E21E27">
            <w:pPr>
              <w:shd w:val="clear" w:color="auto" w:fill="FFFFFF"/>
              <w:spacing w:before="30" w:line="270" w:lineRule="exact"/>
              <w:rPr>
                <w:rFonts w:ascii="Arial" w:hAnsi="Arial" w:cs="Arial"/>
                <w:b/>
                <w:sz w:val="21"/>
                <w:szCs w:val="21"/>
              </w:rPr>
            </w:pPr>
            <w:r w:rsidRPr="00E21E27">
              <w:rPr>
                <w:lang w:eastAsia="en-US"/>
              </w:rPr>
              <w:t>Minimalny wskaźnik intensywności zabudowy: 0,05 dla działki budowlanej</w:t>
            </w:r>
          </w:p>
        </w:tc>
      </w:tr>
      <w:tr w:rsidR="00576CE9" w:rsidRPr="00015907" w14:paraId="41362EDF"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vMerge/>
            <w:tcBorders>
              <w:left w:val="single" w:sz="12" w:space="0" w:color="auto"/>
              <w:right w:val="single" w:sz="6" w:space="0" w:color="auto"/>
            </w:tcBorders>
            <w:shd w:val="clear" w:color="auto" w:fill="F2F2F2" w:themeFill="background1" w:themeFillShade="F2"/>
          </w:tcPr>
          <w:p w14:paraId="380941B2" w14:textId="77777777" w:rsidR="00576CE9" w:rsidRPr="00B66790" w:rsidRDefault="00576CE9" w:rsidP="00576CE9">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562A1291" w14:textId="77777777" w:rsidR="00576CE9" w:rsidRPr="005303DC" w:rsidRDefault="00F978F0" w:rsidP="00576CE9">
            <w:pPr>
              <w:shd w:val="clear" w:color="auto" w:fill="FFFFFF"/>
              <w:spacing w:before="20" w:after="10" w:line="260" w:lineRule="exact"/>
              <w:ind w:left="79" w:right="57"/>
            </w:pPr>
            <w:r w:rsidRPr="00F978F0">
              <w:t>Maksymalna powierzchnia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7173AC4" w14:textId="5365AF01" w:rsidR="00576CE9" w:rsidRPr="00E21E27" w:rsidRDefault="00E21E27" w:rsidP="00576CE9">
            <w:pPr>
              <w:shd w:val="clear" w:color="auto" w:fill="FFFFFF"/>
              <w:spacing w:before="30" w:line="270" w:lineRule="exact"/>
              <w:rPr>
                <w:b/>
              </w:rPr>
            </w:pPr>
            <w:r>
              <w:rPr>
                <w:b/>
              </w:rPr>
              <w:t>60</w:t>
            </w:r>
            <w:r w:rsidR="00BD56EF">
              <w:rPr>
                <w:b/>
              </w:rPr>
              <w:t>%</w:t>
            </w:r>
          </w:p>
        </w:tc>
      </w:tr>
      <w:tr w:rsidR="00F978F0" w:rsidRPr="00015907" w14:paraId="687CACEF"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tcBorders>
              <w:left w:val="single" w:sz="12" w:space="0" w:color="auto"/>
              <w:right w:val="single" w:sz="6" w:space="0" w:color="auto"/>
            </w:tcBorders>
            <w:shd w:val="clear" w:color="auto" w:fill="F2F2F2" w:themeFill="background1" w:themeFillShade="F2"/>
          </w:tcPr>
          <w:p w14:paraId="56B0E74B"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5BA6109F" w14:textId="77777777" w:rsidR="00F978F0" w:rsidRPr="005303DC" w:rsidRDefault="00F978F0" w:rsidP="00F978F0">
            <w:pPr>
              <w:shd w:val="clear" w:color="auto" w:fill="FFFFFF"/>
              <w:spacing w:before="20" w:after="10" w:line="260" w:lineRule="exact"/>
              <w:ind w:left="79" w:right="57"/>
            </w:pPr>
            <w:r w:rsidRPr="005303DC">
              <w:t>Maksymalna wysokość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F924EAD" w14:textId="77777777" w:rsidR="00E21E27" w:rsidRPr="00E21E27" w:rsidRDefault="00E21E27" w:rsidP="00E21E27">
            <w:pPr>
              <w:spacing w:beforeLines="60" w:before="144" w:afterLines="60" w:after="144"/>
              <w:jc w:val="both"/>
              <w:rPr>
                <w:lang w:eastAsia="en-US"/>
              </w:rPr>
            </w:pPr>
            <w:r w:rsidRPr="00E21E27">
              <w:rPr>
                <w:lang w:eastAsia="en-US"/>
              </w:rPr>
              <w:t>Budynków mieszkalnych i usługowych do 12,0 m</w:t>
            </w:r>
          </w:p>
          <w:p w14:paraId="0CD87E94" w14:textId="5AE12D65" w:rsidR="00F978F0" w:rsidRPr="009203EF" w:rsidRDefault="00E21E27" w:rsidP="00E21E27">
            <w:pPr>
              <w:shd w:val="clear" w:color="auto" w:fill="FFFFFF"/>
              <w:spacing w:before="30" w:line="270" w:lineRule="exact"/>
              <w:rPr>
                <w:rFonts w:ascii="Arial" w:hAnsi="Arial" w:cs="Arial"/>
                <w:b/>
                <w:sz w:val="21"/>
                <w:szCs w:val="21"/>
              </w:rPr>
            </w:pPr>
            <w:r w:rsidRPr="00E21E27">
              <w:rPr>
                <w:lang w:eastAsia="en-US"/>
              </w:rPr>
              <w:t>Budynków gospodarczych i garażowych do 5,0 m</w:t>
            </w:r>
          </w:p>
        </w:tc>
      </w:tr>
      <w:tr w:rsidR="00F978F0" w:rsidRPr="00015907" w14:paraId="63E2BA5B"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trPr>
        <w:tc>
          <w:tcPr>
            <w:tcW w:w="2892" w:type="dxa"/>
            <w:tcBorders>
              <w:left w:val="single" w:sz="12" w:space="0" w:color="auto"/>
              <w:right w:val="single" w:sz="6" w:space="0" w:color="auto"/>
            </w:tcBorders>
            <w:shd w:val="clear" w:color="auto" w:fill="F2F2F2" w:themeFill="background1" w:themeFillShade="F2"/>
          </w:tcPr>
          <w:p w14:paraId="12033D5F"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2156123F" w14:textId="77777777" w:rsidR="00F978F0" w:rsidRPr="005303DC" w:rsidRDefault="00F978F0" w:rsidP="00F978F0">
            <w:pPr>
              <w:shd w:val="clear" w:color="auto" w:fill="FFFFFF"/>
              <w:spacing w:before="20" w:after="10" w:line="260" w:lineRule="exact"/>
              <w:ind w:left="79" w:right="57"/>
            </w:pPr>
            <w:r w:rsidRPr="005303DC">
              <w:t>Minimalny udział procentowy powierzchni biologicznie czynnej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E06BF38" w14:textId="2AC2AE33" w:rsidR="00F978F0" w:rsidRPr="009203EF" w:rsidRDefault="00BD56EF" w:rsidP="00F978F0">
            <w:pPr>
              <w:shd w:val="clear" w:color="auto" w:fill="FFFFFF"/>
              <w:spacing w:before="30" w:line="270" w:lineRule="exact"/>
              <w:rPr>
                <w:rFonts w:ascii="Arial" w:hAnsi="Arial" w:cs="Arial"/>
                <w:b/>
                <w:sz w:val="21"/>
                <w:szCs w:val="21"/>
              </w:rPr>
            </w:pPr>
            <w:r w:rsidRPr="00BD56EF">
              <w:rPr>
                <w:lang w:eastAsia="en-US"/>
              </w:rPr>
              <w:t xml:space="preserve">25% powierzchni działki budowalnej  </w:t>
            </w:r>
          </w:p>
        </w:tc>
      </w:tr>
      <w:tr w:rsidR="00F978F0" w:rsidRPr="00015907" w14:paraId="36FACB54"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tcBorders>
              <w:left w:val="single" w:sz="12" w:space="0" w:color="auto"/>
              <w:right w:val="single" w:sz="6" w:space="0" w:color="auto"/>
            </w:tcBorders>
            <w:shd w:val="clear" w:color="auto" w:fill="F2F2F2" w:themeFill="background1" w:themeFillShade="F2"/>
          </w:tcPr>
          <w:p w14:paraId="0C142E5F"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7D43A8E8" w14:textId="77777777" w:rsidR="00F978F0" w:rsidRPr="005303DC" w:rsidRDefault="00F978F0" w:rsidP="00F978F0">
            <w:pPr>
              <w:shd w:val="clear" w:color="auto" w:fill="FFFFFF"/>
              <w:spacing w:before="20" w:after="10" w:line="260" w:lineRule="exact"/>
              <w:ind w:left="79" w:right="57"/>
            </w:pPr>
            <w:r w:rsidRPr="005303DC">
              <w:t>Minimalna liczba miejsc do parkowania</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7B3C78A" w14:textId="24DF7230" w:rsidR="00F978F0" w:rsidRPr="00BD56EF" w:rsidRDefault="00BD56EF" w:rsidP="00F978F0">
            <w:pPr>
              <w:shd w:val="clear" w:color="auto" w:fill="FFFFFF"/>
              <w:spacing w:before="30" w:line="270" w:lineRule="exact"/>
              <w:rPr>
                <w:bCs/>
                <w:sz w:val="21"/>
                <w:szCs w:val="21"/>
              </w:rPr>
            </w:pPr>
            <w:r>
              <w:rPr>
                <w:bCs/>
                <w:sz w:val="21"/>
                <w:szCs w:val="21"/>
              </w:rPr>
              <w:t>2 na każdy lokal</w:t>
            </w:r>
          </w:p>
        </w:tc>
      </w:tr>
      <w:tr w:rsidR="00F978F0" w:rsidRPr="00015907" w14:paraId="7D86EB5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trPr>
        <w:tc>
          <w:tcPr>
            <w:tcW w:w="2892" w:type="dxa"/>
            <w:tcBorders>
              <w:left w:val="single" w:sz="12" w:space="0" w:color="auto"/>
              <w:right w:val="single" w:sz="6" w:space="0" w:color="auto"/>
            </w:tcBorders>
            <w:shd w:val="clear" w:color="auto" w:fill="F2F2F2" w:themeFill="background1" w:themeFillShade="F2"/>
          </w:tcPr>
          <w:p w14:paraId="4E573952"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033ED689" w14:textId="77777777" w:rsidR="00F978F0" w:rsidRPr="005303DC" w:rsidRDefault="00F978F0" w:rsidP="00F978F0">
            <w:pPr>
              <w:shd w:val="clear" w:color="auto" w:fill="FFFFFF"/>
              <w:spacing w:before="20" w:after="10" w:line="260" w:lineRule="exact"/>
              <w:ind w:left="79" w:right="57"/>
            </w:pPr>
            <w:r w:rsidRPr="005303DC">
              <w:t>Warunki ochrony środowiska i zdrowia ludzi, przyrody i krajobrazu</w:t>
            </w:r>
          </w:p>
        </w:tc>
        <w:tc>
          <w:tcPr>
            <w:tcW w:w="3500" w:type="dxa"/>
            <w:tcBorders>
              <w:top w:val="single" w:sz="6" w:space="0" w:color="auto"/>
              <w:left w:val="single" w:sz="6" w:space="0" w:color="auto"/>
              <w:right w:val="single" w:sz="12" w:space="0" w:color="auto"/>
            </w:tcBorders>
            <w:shd w:val="clear" w:color="auto" w:fill="FFFFFF"/>
          </w:tcPr>
          <w:p w14:paraId="1CB8EDC9" w14:textId="60A7D1D1" w:rsidR="00F978F0" w:rsidRPr="009203EF" w:rsidRDefault="00BD56EF" w:rsidP="00F978F0">
            <w:pPr>
              <w:shd w:val="clear" w:color="auto" w:fill="FFFFFF"/>
              <w:spacing w:before="30" w:line="270" w:lineRule="exact"/>
              <w:rPr>
                <w:rFonts w:ascii="Arial" w:hAnsi="Arial" w:cs="Arial"/>
                <w:b/>
                <w:sz w:val="21"/>
                <w:szCs w:val="21"/>
              </w:rPr>
            </w:pPr>
            <w:r w:rsidRPr="00BD56EF">
              <w:rPr>
                <w:lang w:eastAsia="en-US"/>
              </w:rPr>
              <w:t>Nie dotyczy</w:t>
            </w:r>
          </w:p>
        </w:tc>
      </w:tr>
      <w:tr w:rsidR="00F978F0" w:rsidRPr="00015907" w14:paraId="512393C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9"/>
        </w:trPr>
        <w:tc>
          <w:tcPr>
            <w:tcW w:w="2892" w:type="dxa"/>
            <w:tcBorders>
              <w:left w:val="single" w:sz="12" w:space="0" w:color="auto"/>
              <w:right w:val="single" w:sz="6" w:space="0" w:color="auto"/>
            </w:tcBorders>
            <w:shd w:val="clear" w:color="auto" w:fill="F2F2F2" w:themeFill="background1" w:themeFillShade="F2"/>
          </w:tcPr>
          <w:p w14:paraId="3BFF9012"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5646DB2E" w14:textId="77777777" w:rsidR="00F978F0" w:rsidRPr="005303DC" w:rsidRDefault="00F978F0" w:rsidP="00F978F0">
            <w:pPr>
              <w:shd w:val="clear" w:color="auto" w:fill="FFFFFF"/>
              <w:spacing w:before="20" w:after="10" w:line="260" w:lineRule="exact"/>
              <w:ind w:left="79" w:right="57"/>
            </w:pPr>
            <w:r w:rsidRPr="005303DC">
              <w:t>Wymagania dotyczące zabudowy</w:t>
            </w:r>
            <w:r>
              <w:br/>
            </w:r>
            <w:r w:rsidRPr="005303DC">
              <w:t>i zagospodarowania terenu położonego</w:t>
            </w:r>
            <w:r>
              <w:br/>
            </w:r>
            <w:r w:rsidRPr="005303DC">
              <w:t>na obszarach szczególnego zagrożenia powodzią</w:t>
            </w:r>
          </w:p>
        </w:tc>
        <w:tc>
          <w:tcPr>
            <w:tcW w:w="3500" w:type="dxa"/>
            <w:tcBorders>
              <w:top w:val="single" w:sz="6" w:space="0" w:color="auto"/>
              <w:left w:val="single" w:sz="6" w:space="0" w:color="auto"/>
              <w:right w:val="single" w:sz="12" w:space="0" w:color="auto"/>
            </w:tcBorders>
            <w:shd w:val="clear" w:color="auto" w:fill="FFFFFF"/>
          </w:tcPr>
          <w:p w14:paraId="775348FA" w14:textId="05840D06" w:rsidR="00F978F0" w:rsidRPr="009203EF" w:rsidRDefault="00BD56EF" w:rsidP="00F978F0">
            <w:pPr>
              <w:shd w:val="clear" w:color="auto" w:fill="FFFFFF"/>
              <w:spacing w:before="30" w:line="270" w:lineRule="exact"/>
              <w:rPr>
                <w:rFonts w:ascii="Arial" w:hAnsi="Arial" w:cs="Arial"/>
                <w:b/>
                <w:sz w:val="21"/>
                <w:szCs w:val="21"/>
              </w:rPr>
            </w:pPr>
            <w:r w:rsidRPr="00BD56EF">
              <w:rPr>
                <w:lang w:eastAsia="en-US"/>
              </w:rPr>
              <w:t>Nie dotyczy</w:t>
            </w:r>
          </w:p>
        </w:tc>
      </w:tr>
      <w:tr w:rsidR="00F978F0" w:rsidRPr="00015907" w14:paraId="4832AB86"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6"/>
        </w:trPr>
        <w:tc>
          <w:tcPr>
            <w:tcW w:w="2892" w:type="dxa"/>
            <w:tcBorders>
              <w:left w:val="single" w:sz="12" w:space="0" w:color="auto"/>
              <w:right w:val="single" w:sz="6" w:space="0" w:color="auto"/>
            </w:tcBorders>
            <w:shd w:val="clear" w:color="auto" w:fill="F2F2F2" w:themeFill="background1" w:themeFillShade="F2"/>
          </w:tcPr>
          <w:p w14:paraId="5CE94E53"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7D6EAADA" w14:textId="77777777" w:rsidR="00F978F0" w:rsidRPr="005303DC" w:rsidRDefault="00F978F0" w:rsidP="00F978F0">
            <w:pPr>
              <w:shd w:val="clear" w:color="auto" w:fill="FFFFFF"/>
              <w:spacing w:before="20" w:after="10" w:line="260" w:lineRule="exact"/>
              <w:ind w:left="79" w:right="57"/>
            </w:pPr>
            <w:r w:rsidRPr="003F36EB">
              <w:t>Warunki ochrony dziedzictwa kulturo-wego i zabytków oraz dóbr kultury współczesnej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99D7232" w14:textId="20BF4D99" w:rsidR="00F978F0" w:rsidRPr="009203EF" w:rsidRDefault="00BD56EF" w:rsidP="00F978F0">
            <w:pPr>
              <w:shd w:val="clear" w:color="auto" w:fill="FFFFFF"/>
              <w:spacing w:before="30" w:line="270" w:lineRule="exact"/>
              <w:rPr>
                <w:rFonts w:ascii="Arial" w:hAnsi="Arial" w:cs="Arial"/>
                <w:b/>
                <w:sz w:val="21"/>
                <w:szCs w:val="21"/>
              </w:rPr>
            </w:pPr>
            <w:r w:rsidRPr="00BD56EF">
              <w:rPr>
                <w:lang w:eastAsia="en-US"/>
              </w:rPr>
              <w:t>Nie dotyczy</w:t>
            </w:r>
          </w:p>
        </w:tc>
      </w:tr>
      <w:tr w:rsidR="00F978F0" w:rsidRPr="00015907" w14:paraId="11F6B5D2"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7"/>
        </w:trPr>
        <w:tc>
          <w:tcPr>
            <w:tcW w:w="2892" w:type="dxa"/>
            <w:tcBorders>
              <w:left w:val="single" w:sz="12" w:space="0" w:color="auto"/>
              <w:right w:val="single" w:sz="6" w:space="0" w:color="auto"/>
            </w:tcBorders>
            <w:shd w:val="clear" w:color="auto" w:fill="F2F2F2" w:themeFill="background1" w:themeFillShade="F2"/>
          </w:tcPr>
          <w:p w14:paraId="5AEB18D5"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08248577" w14:textId="77777777" w:rsidR="00F978F0" w:rsidRPr="003F36EB" w:rsidRDefault="00F978F0" w:rsidP="00F978F0">
            <w:pPr>
              <w:shd w:val="clear" w:color="auto" w:fill="FFFFFF"/>
              <w:spacing w:before="20" w:after="10" w:line="260" w:lineRule="exact"/>
              <w:ind w:left="79" w:right="57"/>
            </w:pPr>
            <w:r w:rsidRPr="003F36EB">
              <w:t>Wymagania dotyczące ochrony innych terenów lub obiektów podlegających ochronie na podstawie przepisów</w:t>
            </w:r>
            <w:r w:rsidR="003133B6">
              <w:br/>
            </w:r>
            <w:r w:rsidRPr="003F36EB">
              <w:t>odrębnych</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C20D0C9" w14:textId="03BFBED6" w:rsidR="00F978F0" w:rsidRPr="009203EF" w:rsidRDefault="00BD56EF" w:rsidP="00F978F0">
            <w:pPr>
              <w:shd w:val="clear" w:color="auto" w:fill="FFFFFF"/>
              <w:spacing w:before="30" w:line="270" w:lineRule="exact"/>
              <w:rPr>
                <w:rFonts w:ascii="Arial" w:hAnsi="Arial" w:cs="Arial"/>
                <w:b/>
                <w:sz w:val="21"/>
                <w:szCs w:val="21"/>
              </w:rPr>
            </w:pPr>
            <w:r w:rsidRPr="00BD56EF">
              <w:rPr>
                <w:lang w:eastAsia="en-US"/>
              </w:rPr>
              <w:t>Nie dotyczy</w:t>
            </w:r>
          </w:p>
        </w:tc>
      </w:tr>
      <w:tr w:rsidR="00F978F0" w:rsidRPr="00015907" w14:paraId="316FA3E9"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1"/>
        </w:trPr>
        <w:tc>
          <w:tcPr>
            <w:tcW w:w="2892" w:type="dxa"/>
            <w:tcBorders>
              <w:left w:val="single" w:sz="12" w:space="0" w:color="auto"/>
              <w:right w:val="single" w:sz="6" w:space="0" w:color="auto"/>
            </w:tcBorders>
            <w:shd w:val="clear" w:color="auto" w:fill="F2F2F2" w:themeFill="background1" w:themeFillShade="F2"/>
          </w:tcPr>
          <w:p w14:paraId="40A9E413"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509F7BE0" w14:textId="77777777" w:rsidR="00F978F0" w:rsidRPr="003F36EB" w:rsidRDefault="00F978F0" w:rsidP="00F978F0">
            <w:pPr>
              <w:shd w:val="clear" w:color="auto" w:fill="FFFFFF"/>
              <w:spacing w:before="20" w:after="10" w:line="260" w:lineRule="exact"/>
              <w:ind w:left="79" w:right="57"/>
            </w:pPr>
            <w:r w:rsidRPr="003F36EB">
              <w:t>Warunki i szczegółowe zasady obsługi</w:t>
            </w:r>
            <w:r>
              <w:br/>
            </w:r>
            <w:r w:rsidRPr="003F36EB">
              <w:t>w zakresie komunikacji</w:t>
            </w:r>
          </w:p>
        </w:tc>
        <w:tc>
          <w:tcPr>
            <w:tcW w:w="3500" w:type="dxa"/>
            <w:tcBorders>
              <w:top w:val="single" w:sz="6" w:space="0" w:color="auto"/>
              <w:left w:val="single" w:sz="6" w:space="0" w:color="auto"/>
              <w:right w:val="single" w:sz="12" w:space="0" w:color="auto"/>
            </w:tcBorders>
            <w:shd w:val="clear" w:color="auto" w:fill="FFFFFF"/>
          </w:tcPr>
          <w:p w14:paraId="11602B73" w14:textId="4D12EE40" w:rsidR="00F978F0" w:rsidRPr="009203EF" w:rsidRDefault="00BD56EF" w:rsidP="00F978F0">
            <w:pPr>
              <w:shd w:val="clear" w:color="auto" w:fill="FFFFFF"/>
              <w:spacing w:before="30" w:line="270" w:lineRule="exact"/>
              <w:rPr>
                <w:rFonts w:ascii="Arial" w:hAnsi="Arial" w:cs="Arial"/>
                <w:b/>
                <w:sz w:val="21"/>
                <w:szCs w:val="21"/>
              </w:rPr>
            </w:pPr>
            <w:r w:rsidRPr="00BD56EF">
              <w:rPr>
                <w:lang w:eastAsia="en-US"/>
              </w:rPr>
              <w:t>Nie dotyczy</w:t>
            </w:r>
          </w:p>
        </w:tc>
      </w:tr>
      <w:tr w:rsidR="00F978F0" w:rsidRPr="00015907" w14:paraId="5AD6BA67"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1"/>
        </w:trPr>
        <w:tc>
          <w:tcPr>
            <w:tcW w:w="2892" w:type="dxa"/>
            <w:tcBorders>
              <w:left w:val="single" w:sz="12" w:space="0" w:color="auto"/>
              <w:right w:val="single" w:sz="6" w:space="0" w:color="auto"/>
            </w:tcBorders>
            <w:shd w:val="clear" w:color="auto" w:fill="F2F2F2" w:themeFill="background1" w:themeFillShade="F2"/>
          </w:tcPr>
          <w:p w14:paraId="22EFDFE9"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676DC54F" w14:textId="77777777" w:rsidR="00F978F0" w:rsidRPr="003F36EB" w:rsidRDefault="00F978F0" w:rsidP="00652E67">
            <w:pPr>
              <w:shd w:val="clear" w:color="auto" w:fill="FFFFFF"/>
              <w:spacing w:before="20" w:after="10" w:line="260" w:lineRule="exact"/>
              <w:ind w:left="79" w:right="57"/>
            </w:pPr>
            <w:r w:rsidRPr="003F36EB">
              <w:t>Warunki i szczegółowe zasady obsługi</w:t>
            </w:r>
            <w:r>
              <w:br/>
            </w:r>
            <w:r w:rsidRPr="003F36EB">
              <w:t>w zakresie infrastruktury technicznej</w:t>
            </w:r>
          </w:p>
        </w:tc>
        <w:tc>
          <w:tcPr>
            <w:tcW w:w="3500" w:type="dxa"/>
            <w:tcBorders>
              <w:top w:val="single" w:sz="6" w:space="0" w:color="auto"/>
              <w:left w:val="single" w:sz="6" w:space="0" w:color="auto"/>
              <w:right w:val="single" w:sz="12" w:space="0" w:color="auto"/>
            </w:tcBorders>
            <w:shd w:val="clear" w:color="auto" w:fill="FFFFFF"/>
          </w:tcPr>
          <w:p w14:paraId="79375577" w14:textId="79C6CB69" w:rsidR="00F978F0" w:rsidRPr="009203EF" w:rsidRDefault="00BD56EF" w:rsidP="00F978F0">
            <w:pPr>
              <w:shd w:val="clear" w:color="auto" w:fill="FFFFFF"/>
              <w:spacing w:before="30" w:line="270" w:lineRule="exact"/>
              <w:rPr>
                <w:rFonts w:ascii="Arial" w:hAnsi="Arial" w:cs="Arial"/>
                <w:b/>
                <w:sz w:val="21"/>
                <w:szCs w:val="21"/>
              </w:rPr>
            </w:pPr>
            <w:r w:rsidRPr="00BD56EF">
              <w:rPr>
                <w:lang w:eastAsia="en-US"/>
              </w:rPr>
              <w:t>Nie dotyczy</w:t>
            </w:r>
          </w:p>
        </w:tc>
      </w:tr>
      <w:tr w:rsidR="00F978F0" w:rsidRPr="00015907" w14:paraId="79B83E9D"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vMerge w:val="restart"/>
            <w:tcBorders>
              <w:top w:val="single" w:sz="6" w:space="0" w:color="auto"/>
              <w:left w:val="single" w:sz="12" w:space="0" w:color="auto"/>
              <w:right w:val="single" w:sz="6" w:space="0" w:color="auto"/>
            </w:tcBorders>
            <w:shd w:val="clear" w:color="auto" w:fill="F2F2F2" w:themeFill="background1" w:themeFillShade="F2"/>
          </w:tcPr>
          <w:p w14:paraId="7AB9EB23" w14:textId="77777777" w:rsidR="00F978F0" w:rsidRPr="00333135" w:rsidRDefault="00F978F0" w:rsidP="00481CD8">
            <w:pPr>
              <w:spacing w:before="20" w:after="10" w:line="260" w:lineRule="exact"/>
              <w:ind w:left="57" w:right="-57"/>
            </w:pPr>
            <w:r w:rsidRPr="003F36EB">
              <w:t>Ustalenia obowiązującego miejscowego planu</w:t>
            </w:r>
            <w:r>
              <w:br/>
            </w:r>
            <w:r w:rsidRPr="003F36EB">
              <w:t>zagospodarowania przestrzennego</w:t>
            </w:r>
            <w:r>
              <w:br/>
            </w:r>
            <w:r w:rsidRPr="003F36EB">
              <w:t>dla działek lub ich fragmentów, znajdujących się w odległości</w:t>
            </w:r>
            <w:r>
              <w:br/>
            </w:r>
            <w:r w:rsidRPr="003F36EB">
              <w:t>do 100 m od granicy terenu objętego przedsięwzięciem deweloperskim</w:t>
            </w:r>
            <w:r>
              <w:br/>
            </w:r>
            <w:r w:rsidRPr="003F36EB">
              <w:t>lub zadaniem inwestycyjnym</w:t>
            </w:r>
            <w:r w:rsidRPr="0014178B">
              <w:rPr>
                <w:vertAlign w:val="superscript"/>
              </w:rPr>
              <w:footnoteReference w:id="6"/>
            </w: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497EA93B" w14:textId="77777777" w:rsidR="00F978F0" w:rsidRPr="00B66790" w:rsidRDefault="00F978F0" w:rsidP="00652E67">
            <w:pPr>
              <w:shd w:val="clear" w:color="auto" w:fill="FFFFFF"/>
              <w:spacing w:before="20" w:after="10" w:line="260" w:lineRule="exact"/>
              <w:ind w:left="79" w:right="57"/>
            </w:pPr>
            <w:r w:rsidRPr="005303DC">
              <w:t>Przeznaczenie terenu</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B2F1EAB" w14:textId="20650B93" w:rsidR="00F978F0" w:rsidRPr="009203EF" w:rsidRDefault="00BD56EF" w:rsidP="00F978F0">
            <w:pPr>
              <w:shd w:val="clear" w:color="auto" w:fill="FFFFFF"/>
              <w:spacing w:before="30" w:line="270" w:lineRule="exact"/>
              <w:rPr>
                <w:rFonts w:ascii="Arial" w:hAnsi="Arial" w:cs="Arial"/>
                <w:b/>
                <w:sz w:val="21"/>
                <w:szCs w:val="21"/>
              </w:rPr>
            </w:pPr>
            <w:r w:rsidRPr="00BD56EF">
              <w:rPr>
                <w:lang w:eastAsia="en-US"/>
              </w:rPr>
              <w:t>zabudowa mieszkaniowa jednorodzinna lub usługi, z zastrzeżeniem zakazu realizacji usług w zakresie: myjni samochodowych, warsztatów samochodowych, stacji obsługi pojazdów i stacji paliw; dla usług handlu detalicznego ograniczenie powierzchni sprzedaży do 300 m²</w:t>
            </w:r>
          </w:p>
        </w:tc>
      </w:tr>
      <w:tr w:rsidR="00F978F0" w:rsidRPr="00015907" w14:paraId="20E6AB39"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vMerge/>
            <w:tcBorders>
              <w:top w:val="single" w:sz="6" w:space="0" w:color="auto"/>
              <w:left w:val="single" w:sz="12" w:space="0" w:color="auto"/>
              <w:right w:val="single" w:sz="6" w:space="0" w:color="auto"/>
            </w:tcBorders>
            <w:shd w:val="clear" w:color="auto" w:fill="F2F2F2" w:themeFill="background1" w:themeFillShade="F2"/>
          </w:tcPr>
          <w:p w14:paraId="2C470B97" w14:textId="77777777" w:rsidR="00F978F0" w:rsidRPr="003F36EB"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3C9471C1" w14:textId="77777777" w:rsidR="00F978F0" w:rsidRPr="005303DC" w:rsidRDefault="00F978F0" w:rsidP="00652E67">
            <w:pPr>
              <w:shd w:val="clear" w:color="auto" w:fill="FFFFFF"/>
              <w:spacing w:before="20" w:after="10" w:line="260" w:lineRule="exact"/>
              <w:ind w:left="79" w:right="57"/>
            </w:pPr>
            <w:r w:rsidRPr="00F978F0">
              <w:t>Maksymalna intensywność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4E6B07F" w14:textId="77777777" w:rsidR="00BD56EF" w:rsidRPr="00BD56EF" w:rsidRDefault="00BD56EF" w:rsidP="00BD56EF">
            <w:pPr>
              <w:spacing w:beforeLines="60" w:before="144" w:afterLines="60" w:after="144"/>
              <w:jc w:val="both"/>
              <w:rPr>
                <w:lang w:eastAsia="en-US"/>
              </w:rPr>
            </w:pPr>
            <w:r w:rsidRPr="00BD56EF">
              <w:rPr>
                <w:lang w:eastAsia="en-US"/>
              </w:rPr>
              <w:t xml:space="preserve">Maksymalny wskaźnik intensywności zabudowy: 1,8 dla działki budowlanej </w:t>
            </w:r>
          </w:p>
          <w:p w14:paraId="25DCC10C" w14:textId="510DEDC6" w:rsidR="00F978F0" w:rsidRPr="009203EF" w:rsidRDefault="00BD56EF" w:rsidP="00BD56EF">
            <w:pPr>
              <w:shd w:val="clear" w:color="auto" w:fill="FFFFFF"/>
              <w:spacing w:before="30" w:line="270" w:lineRule="exact"/>
              <w:rPr>
                <w:rFonts w:ascii="Arial" w:hAnsi="Arial" w:cs="Arial"/>
                <w:b/>
                <w:sz w:val="21"/>
                <w:szCs w:val="21"/>
              </w:rPr>
            </w:pPr>
            <w:r w:rsidRPr="00BD56EF">
              <w:rPr>
                <w:lang w:eastAsia="en-US"/>
              </w:rPr>
              <w:t>Minimalny wskaźnik intensywności zabudowy: 0,05 dla działki budowlanej</w:t>
            </w:r>
          </w:p>
        </w:tc>
      </w:tr>
      <w:tr w:rsidR="00F978F0" w:rsidRPr="00015907" w14:paraId="5415FA41"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2"/>
        </w:trPr>
        <w:tc>
          <w:tcPr>
            <w:tcW w:w="2892" w:type="dxa"/>
            <w:vMerge/>
            <w:tcBorders>
              <w:left w:val="single" w:sz="12" w:space="0" w:color="auto"/>
              <w:right w:val="single" w:sz="6" w:space="0" w:color="auto"/>
            </w:tcBorders>
            <w:shd w:val="clear" w:color="auto" w:fill="F2F2F2" w:themeFill="background1" w:themeFillShade="F2"/>
          </w:tcPr>
          <w:p w14:paraId="4C437695"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532919E7" w14:textId="77777777" w:rsidR="00F978F0" w:rsidRPr="005303DC" w:rsidRDefault="00F978F0" w:rsidP="00652E67">
            <w:pPr>
              <w:shd w:val="clear" w:color="auto" w:fill="FFFFFF"/>
              <w:spacing w:before="20" w:after="10" w:line="260" w:lineRule="exact"/>
              <w:ind w:left="79" w:right="57"/>
            </w:pPr>
            <w:r w:rsidRPr="00F978F0">
              <w:t>Maksymalna i minimalna nadziemna intensywność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3C9D340A" w14:textId="190FAC1E" w:rsidR="00BD56EF" w:rsidRPr="00BD56EF" w:rsidRDefault="00BD56EF" w:rsidP="00BD56EF">
            <w:pPr>
              <w:spacing w:beforeLines="60" w:before="144" w:afterLines="60" w:after="144"/>
              <w:jc w:val="both"/>
              <w:rPr>
                <w:lang w:eastAsia="en-US"/>
              </w:rPr>
            </w:pPr>
            <w:r w:rsidRPr="00BD56EF">
              <w:rPr>
                <w:lang w:eastAsia="en-US"/>
              </w:rPr>
              <w:t xml:space="preserve">Maksymalny wskaźnik intensywności zabudowy: 1,8 dla działki budowlanej </w:t>
            </w:r>
          </w:p>
          <w:p w14:paraId="6AD3A2B5" w14:textId="75E23899" w:rsidR="00F978F0" w:rsidRPr="009203EF" w:rsidRDefault="00BD56EF" w:rsidP="00BD56EF">
            <w:pPr>
              <w:shd w:val="clear" w:color="auto" w:fill="FFFFFF"/>
              <w:spacing w:before="30" w:line="270" w:lineRule="exact"/>
              <w:rPr>
                <w:rFonts w:ascii="Arial" w:hAnsi="Arial" w:cs="Arial"/>
                <w:b/>
                <w:sz w:val="21"/>
                <w:szCs w:val="21"/>
              </w:rPr>
            </w:pPr>
            <w:r w:rsidRPr="00BD56EF">
              <w:rPr>
                <w:lang w:eastAsia="en-US"/>
              </w:rPr>
              <w:t>Minimalny wskaźnik intensywności zabudowy: 0,05 dla działki budowlanej</w:t>
            </w:r>
          </w:p>
        </w:tc>
      </w:tr>
      <w:tr w:rsidR="00F978F0" w:rsidRPr="00015907" w14:paraId="6CC6A065"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vMerge/>
            <w:tcBorders>
              <w:left w:val="single" w:sz="12" w:space="0" w:color="auto"/>
              <w:right w:val="single" w:sz="6" w:space="0" w:color="auto"/>
            </w:tcBorders>
            <w:shd w:val="clear" w:color="auto" w:fill="F2F2F2" w:themeFill="background1" w:themeFillShade="F2"/>
          </w:tcPr>
          <w:p w14:paraId="6A2E7D3B" w14:textId="77777777" w:rsidR="00F978F0" w:rsidRPr="00B66790" w:rsidRDefault="00F978F0" w:rsidP="00F978F0">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148736AC" w14:textId="77777777" w:rsidR="00F978F0" w:rsidRPr="005303DC" w:rsidRDefault="00652E67" w:rsidP="00652E67">
            <w:pPr>
              <w:shd w:val="clear" w:color="auto" w:fill="FFFFFF"/>
              <w:spacing w:before="20" w:after="10" w:line="260" w:lineRule="exact"/>
              <w:ind w:left="79" w:right="57"/>
            </w:pPr>
            <w:r w:rsidRPr="00652E67">
              <w:t>Maksymalna powierzchnia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2493017" w14:textId="4242EED7" w:rsidR="00F978F0" w:rsidRPr="00BD56EF" w:rsidRDefault="00BD56EF" w:rsidP="00F978F0">
            <w:pPr>
              <w:shd w:val="clear" w:color="auto" w:fill="FFFFFF"/>
              <w:spacing w:before="30" w:line="270" w:lineRule="exact"/>
              <w:rPr>
                <w:bCs/>
                <w:sz w:val="21"/>
                <w:szCs w:val="21"/>
              </w:rPr>
            </w:pPr>
            <w:r>
              <w:rPr>
                <w:bCs/>
                <w:sz w:val="21"/>
                <w:szCs w:val="21"/>
              </w:rPr>
              <w:t>60%</w:t>
            </w:r>
          </w:p>
        </w:tc>
      </w:tr>
      <w:tr w:rsidR="00652E67" w:rsidRPr="00015907" w14:paraId="06BA5D84"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vMerge/>
            <w:tcBorders>
              <w:left w:val="single" w:sz="12" w:space="0" w:color="auto"/>
              <w:right w:val="single" w:sz="6" w:space="0" w:color="auto"/>
            </w:tcBorders>
            <w:shd w:val="clear" w:color="auto" w:fill="F2F2F2" w:themeFill="background1" w:themeFillShade="F2"/>
          </w:tcPr>
          <w:p w14:paraId="1B042BD2"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0A11C4C6" w14:textId="77777777" w:rsidR="00652E67" w:rsidRPr="003F36EB" w:rsidRDefault="00652E67" w:rsidP="00652E67">
            <w:pPr>
              <w:shd w:val="clear" w:color="auto" w:fill="FFFFFF"/>
              <w:spacing w:before="20" w:after="10" w:line="260" w:lineRule="exact"/>
              <w:ind w:left="79" w:right="57"/>
            </w:pPr>
            <w:r w:rsidRPr="003F36EB">
              <w:t>Maksymalna wysokość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6B69D38" w14:textId="28273205" w:rsidR="00652E67" w:rsidRPr="00BD56EF" w:rsidRDefault="00BD56EF" w:rsidP="00652E67">
            <w:pPr>
              <w:shd w:val="clear" w:color="auto" w:fill="FFFFFF"/>
              <w:spacing w:before="30" w:line="270" w:lineRule="exact"/>
              <w:rPr>
                <w:bCs/>
                <w:sz w:val="21"/>
                <w:szCs w:val="21"/>
              </w:rPr>
            </w:pPr>
            <w:r>
              <w:rPr>
                <w:bCs/>
                <w:sz w:val="21"/>
                <w:szCs w:val="21"/>
              </w:rPr>
              <w:t>12 metrów</w:t>
            </w:r>
          </w:p>
        </w:tc>
      </w:tr>
      <w:tr w:rsidR="00652E67" w:rsidRPr="00015907" w14:paraId="2DA7090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2"/>
        </w:trPr>
        <w:tc>
          <w:tcPr>
            <w:tcW w:w="2892" w:type="dxa"/>
            <w:vMerge/>
            <w:tcBorders>
              <w:left w:val="single" w:sz="12" w:space="0" w:color="auto"/>
              <w:right w:val="single" w:sz="6" w:space="0" w:color="auto"/>
            </w:tcBorders>
            <w:shd w:val="clear" w:color="auto" w:fill="F2F2F2" w:themeFill="background1" w:themeFillShade="F2"/>
          </w:tcPr>
          <w:p w14:paraId="36A24135"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09AC6733" w14:textId="77777777" w:rsidR="00652E67" w:rsidRPr="005303DC" w:rsidRDefault="00652E67" w:rsidP="00652E67">
            <w:pPr>
              <w:shd w:val="clear" w:color="auto" w:fill="FFFFFF"/>
              <w:spacing w:before="20" w:after="10" w:line="260" w:lineRule="exact"/>
              <w:ind w:left="79" w:right="57"/>
            </w:pPr>
            <w:r w:rsidRPr="003F36EB">
              <w:t xml:space="preserve">Minimalny udział procentowy </w:t>
            </w:r>
            <w:r>
              <w:br/>
            </w:r>
            <w:r w:rsidRPr="003F36EB">
              <w:t>powierzchni biologicznie czynnej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35FFB3F2" w14:textId="7D62B4F5" w:rsidR="00652E67" w:rsidRPr="00BD56EF" w:rsidRDefault="00BD56EF" w:rsidP="00652E67">
            <w:pPr>
              <w:shd w:val="clear" w:color="auto" w:fill="FFFFFF"/>
              <w:spacing w:before="30" w:line="270" w:lineRule="exact"/>
              <w:rPr>
                <w:bCs/>
                <w:sz w:val="21"/>
                <w:szCs w:val="21"/>
              </w:rPr>
            </w:pPr>
            <w:r>
              <w:rPr>
                <w:bCs/>
                <w:sz w:val="21"/>
                <w:szCs w:val="21"/>
              </w:rPr>
              <w:t>25%</w:t>
            </w:r>
          </w:p>
        </w:tc>
      </w:tr>
      <w:tr w:rsidR="00652E67" w:rsidRPr="00015907" w14:paraId="21BE909C"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tcBorders>
              <w:left w:val="single" w:sz="12" w:space="0" w:color="auto"/>
              <w:right w:val="single" w:sz="6" w:space="0" w:color="auto"/>
            </w:tcBorders>
            <w:shd w:val="clear" w:color="auto" w:fill="F2F2F2" w:themeFill="background1" w:themeFillShade="F2"/>
          </w:tcPr>
          <w:p w14:paraId="7C1241A2"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636CD9DD" w14:textId="77777777" w:rsidR="00652E67" w:rsidRPr="005303DC" w:rsidRDefault="00652E67" w:rsidP="00652E67">
            <w:pPr>
              <w:shd w:val="clear" w:color="auto" w:fill="FFFFFF"/>
              <w:spacing w:before="20" w:after="10" w:line="260" w:lineRule="exact"/>
              <w:ind w:left="79" w:right="57"/>
            </w:pPr>
            <w:r w:rsidRPr="003F36EB">
              <w:t>Minimalna liczba miejsc do parkowania</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1EED06B" w14:textId="486E97A5" w:rsidR="00652E67" w:rsidRPr="00BD56EF" w:rsidRDefault="00BD56EF" w:rsidP="00652E67">
            <w:pPr>
              <w:shd w:val="clear" w:color="auto" w:fill="FFFFFF"/>
              <w:spacing w:before="30" w:line="270" w:lineRule="exact"/>
              <w:rPr>
                <w:bCs/>
                <w:sz w:val="21"/>
                <w:szCs w:val="21"/>
              </w:rPr>
            </w:pPr>
            <w:r>
              <w:rPr>
                <w:bCs/>
                <w:sz w:val="21"/>
                <w:szCs w:val="21"/>
              </w:rPr>
              <w:t>2 na każdy lokal</w:t>
            </w:r>
          </w:p>
        </w:tc>
      </w:tr>
      <w:tr w:rsidR="00481CD8" w:rsidRPr="00015907" w14:paraId="6366DB96"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2"/>
        </w:trPr>
        <w:tc>
          <w:tcPr>
            <w:tcW w:w="2892" w:type="dxa"/>
            <w:vMerge w:val="restart"/>
            <w:tcBorders>
              <w:top w:val="single" w:sz="6" w:space="0" w:color="auto"/>
              <w:left w:val="single" w:sz="12" w:space="0" w:color="auto"/>
              <w:right w:val="single" w:sz="6" w:space="0" w:color="auto"/>
            </w:tcBorders>
            <w:shd w:val="clear" w:color="auto" w:fill="F2F2F2" w:themeFill="background1" w:themeFillShade="F2"/>
          </w:tcPr>
          <w:p w14:paraId="26BE6E31" w14:textId="77777777" w:rsidR="00481CD8" w:rsidRPr="00333135" w:rsidRDefault="00481CD8" w:rsidP="00481CD8">
            <w:pPr>
              <w:spacing w:before="20" w:after="10" w:line="260" w:lineRule="exact"/>
              <w:ind w:left="57" w:right="-57"/>
            </w:pPr>
            <w:r w:rsidRPr="00FD0F45">
              <w:t>Ustalenia decyzji o warunkach zabudowy albo decyzji o ustaleniu lokalizacji inwestycji celu</w:t>
            </w:r>
            <w:r>
              <w:br/>
            </w:r>
            <w:r w:rsidRPr="00FD0F45">
              <w:t>publicznego dla terenu objętego przedsięwzięciem deweloperskim</w:t>
            </w:r>
            <w:r>
              <w:br/>
            </w:r>
            <w:r w:rsidRPr="00FD0F45">
              <w:t>lub zadaniem inwestycyjnym</w:t>
            </w:r>
            <w:r>
              <w:br/>
            </w:r>
            <w:r w:rsidRPr="00FD0F45">
              <w:t>w przypadku braku miejscowego planu zagospodarowania przestrzennego</w:t>
            </w:r>
          </w:p>
        </w:tc>
        <w:tc>
          <w:tcPr>
            <w:tcW w:w="3820" w:type="dxa"/>
            <w:gridSpan w:val="2"/>
            <w:tcBorders>
              <w:top w:val="single" w:sz="6" w:space="0" w:color="auto"/>
              <w:left w:val="single" w:sz="6" w:space="0" w:color="auto"/>
              <w:right w:val="single" w:sz="6" w:space="0" w:color="auto"/>
            </w:tcBorders>
            <w:shd w:val="clear" w:color="auto" w:fill="FFFFFF"/>
          </w:tcPr>
          <w:p w14:paraId="72960625" w14:textId="77777777" w:rsidR="00481CD8" w:rsidRPr="009203EF" w:rsidRDefault="00481CD8" w:rsidP="00481CD8">
            <w:pPr>
              <w:shd w:val="clear" w:color="auto" w:fill="FFFFFF"/>
              <w:spacing w:before="20" w:after="10" w:line="260" w:lineRule="exact"/>
              <w:ind w:left="79" w:right="57"/>
              <w:rPr>
                <w:rFonts w:ascii="Arial" w:hAnsi="Arial" w:cs="Arial"/>
                <w:b/>
                <w:sz w:val="21"/>
                <w:szCs w:val="21"/>
              </w:rPr>
            </w:pPr>
            <w:r w:rsidRPr="00FD0F45">
              <w:t>Funkcja zabudowy i zagospodarowania terenu</w:t>
            </w:r>
          </w:p>
        </w:tc>
        <w:tc>
          <w:tcPr>
            <w:tcW w:w="3500" w:type="dxa"/>
            <w:tcBorders>
              <w:top w:val="single" w:sz="6" w:space="0" w:color="auto"/>
              <w:left w:val="single" w:sz="6" w:space="0" w:color="auto"/>
              <w:right w:val="single" w:sz="12" w:space="0" w:color="auto"/>
            </w:tcBorders>
            <w:shd w:val="clear" w:color="auto" w:fill="FFFFFF"/>
          </w:tcPr>
          <w:p w14:paraId="352FE504" w14:textId="77777777" w:rsidR="00BD56EF" w:rsidRPr="00BD56EF" w:rsidRDefault="00BD56EF" w:rsidP="00BD56EF">
            <w:pPr>
              <w:spacing w:beforeLines="60" w:before="144" w:afterLines="60" w:after="144"/>
              <w:jc w:val="both"/>
              <w:rPr>
                <w:rFonts w:eastAsia="Univers-PL"/>
              </w:rPr>
            </w:pPr>
          </w:p>
          <w:p w14:paraId="0076AA10" w14:textId="09718919" w:rsidR="00481CD8" w:rsidRPr="009203EF" w:rsidRDefault="00BD56EF" w:rsidP="00BD56EF">
            <w:pPr>
              <w:shd w:val="clear" w:color="auto" w:fill="FFFFFF"/>
              <w:spacing w:before="20" w:after="10" w:line="260" w:lineRule="exact"/>
              <w:ind w:right="57"/>
              <w:rPr>
                <w:rFonts w:ascii="Arial" w:hAnsi="Arial" w:cs="Arial"/>
                <w:b/>
                <w:sz w:val="21"/>
                <w:szCs w:val="21"/>
              </w:rPr>
            </w:pPr>
            <w:r w:rsidRPr="00BD56EF">
              <w:rPr>
                <w:rFonts w:eastAsia="Univers-PL"/>
              </w:rPr>
              <w:t>Sposób użytkowania obiektów budowlanych oraz zagospodarowania terenu</w:t>
            </w:r>
          </w:p>
        </w:tc>
      </w:tr>
      <w:tr w:rsidR="00481CD8" w:rsidRPr="00015907" w14:paraId="2A66829A"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2892" w:type="dxa"/>
            <w:vMerge/>
            <w:tcBorders>
              <w:left w:val="single" w:sz="12" w:space="0" w:color="auto"/>
              <w:right w:val="single" w:sz="6" w:space="0" w:color="auto"/>
            </w:tcBorders>
            <w:shd w:val="clear" w:color="auto" w:fill="F2F2F2" w:themeFill="background1" w:themeFillShade="F2"/>
          </w:tcPr>
          <w:p w14:paraId="7C02F709" w14:textId="77777777" w:rsidR="00481CD8" w:rsidRPr="00B66790" w:rsidRDefault="00481CD8" w:rsidP="00481CD8">
            <w:pPr>
              <w:spacing w:before="120" w:after="10" w:line="260" w:lineRule="exact"/>
              <w:ind w:left="57" w:right="-57"/>
            </w:pPr>
          </w:p>
        </w:tc>
        <w:tc>
          <w:tcPr>
            <w:tcW w:w="3820" w:type="dxa"/>
            <w:gridSpan w:val="2"/>
            <w:tcBorders>
              <w:left w:val="single" w:sz="6" w:space="0" w:color="auto"/>
              <w:bottom w:val="single" w:sz="6" w:space="0" w:color="auto"/>
              <w:right w:val="single" w:sz="6" w:space="0" w:color="auto"/>
            </w:tcBorders>
            <w:shd w:val="clear" w:color="auto" w:fill="FFFFFF"/>
          </w:tcPr>
          <w:p w14:paraId="18CC0F01" w14:textId="46140A59" w:rsidR="00481CD8" w:rsidRPr="00481CD8" w:rsidRDefault="00481CD8" w:rsidP="00481CD8">
            <w:pPr>
              <w:shd w:val="clear" w:color="auto" w:fill="FFFFFF"/>
              <w:spacing w:before="30" w:line="270" w:lineRule="exact"/>
              <w:ind w:left="79"/>
              <w:rPr>
                <w:rFonts w:ascii="Arial" w:hAnsi="Arial" w:cs="Arial"/>
                <w:b/>
                <w:sz w:val="21"/>
                <w:szCs w:val="21"/>
              </w:rPr>
            </w:pPr>
          </w:p>
        </w:tc>
        <w:tc>
          <w:tcPr>
            <w:tcW w:w="3500" w:type="dxa"/>
            <w:tcBorders>
              <w:left w:val="single" w:sz="6" w:space="0" w:color="auto"/>
              <w:bottom w:val="single" w:sz="6" w:space="0" w:color="auto"/>
              <w:right w:val="single" w:sz="12" w:space="0" w:color="auto"/>
            </w:tcBorders>
            <w:shd w:val="clear" w:color="auto" w:fill="FFFFFF"/>
          </w:tcPr>
          <w:p w14:paraId="67686138" w14:textId="1A2D57CC" w:rsidR="00481CD8" w:rsidRPr="00481CD8" w:rsidRDefault="00481CD8" w:rsidP="00481CD8">
            <w:pPr>
              <w:shd w:val="clear" w:color="auto" w:fill="FFFFFF"/>
              <w:spacing w:before="30" w:line="270" w:lineRule="exact"/>
              <w:ind w:left="79"/>
              <w:rPr>
                <w:rFonts w:ascii="Arial" w:hAnsi="Arial" w:cs="Arial"/>
                <w:b/>
                <w:sz w:val="21"/>
                <w:szCs w:val="21"/>
              </w:rPr>
            </w:pPr>
          </w:p>
        </w:tc>
      </w:tr>
      <w:tr w:rsidR="00481CD8" w:rsidRPr="00015907" w14:paraId="3CAA5F9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vMerge/>
            <w:tcBorders>
              <w:left w:val="single" w:sz="12" w:space="0" w:color="auto"/>
              <w:right w:val="single" w:sz="6" w:space="0" w:color="auto"/>
            </w:tcBorders>
            <w:shd w:val="clear" w:color="auto" w:fill="F2F2F2" w:themeFill="background1" w:themeFillShade="F2"/>
          </w:tcPr>
          <w:p w14:paraId="39AD1EF2" w14:textId="77777777" w:rsidR="00481CD8" w:rsidRPr="00B66790" w:rsidRDefault="00481CD8" w:rsidP="00652E67">
            <w:pPr>
              <w:spacing w:before="120" w:after="10" w:line="260" w:lineRule="exact"/>
              <w:ind w:left="57" w:right="-57"/>
            </w:pP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4188EAF4" w14:textId="77777777" w:rsidR="00481CD8" w:rsidRPr="00C4589E" w:rsidRDefault="00481CD8" w:rsidP="00481CD8">
            <w:pPr>
              <w:shd w:val="clear" w:color="auto" w:fill="FFFFFF"/>
              <w:spacing w:before="20" w:after="10" w:line="260" w:lineRule="exact"/>
              <w:ind w:left="79" w:right="57"/>
              <w:rPr>
                <w:rFonts w:ascii="Arial" w:hAnsi="Arial" w:cs="Arial"/>
                <w:b/>
                <w:sz w:val="22"/>
                <w:szCs w:val="22"/>
              </w:rPr>
            </w:pPr>
            <w:r w:rsidRPr="00FD0F45">
              <w:t>Cechy zabudowy i zagospodarowania terenu:</w:t>
            </w:r>
          </w:p>
        </w:tc>
      </w:tr>
      <w:tr w:rsidR="00481CD8" w:rsidRPr="00015907" w14:paraId="19EE8886"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vMerge/>
            <w:tcBorders>
              <w:left w:val="single" w:sz="12" w:space="0" w:color="auto"/>
              <w:right w:val="single" w:sz="6" w:space="0" w:color="auto"/>
            </w:tcBorders>
            <w:shd w:val="clear" w:color="auto" w:fill="F2F2F2" w:themeFill="background1" w:themeFillShade="F2"/>
          </w:tcPr>
          <w:p w14:paraId="6F221299" w14:textId="77777777" w:rsidR="00481CD8" w:rsidRPr="00B66790" w:rsidRDefault="00481CD8"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09306342" w14:textId="77777777" w:rsidR="00481CD8" w:rsidRPr="005303DC" w:rsidRDefault="00481CD8" w:rsidP="00481CD8">
            <w:pPr>
              <w:shd w:val="clear" w:color="auto" w:fill="FFFFFF"/>
              <w:spacing w:before="20" w:after="10" w:line="260" w:lineRule="exact"/>
              <w:ind w:left="79" w:right="57"/>
            </w:pPr>
            <w:r w:rsidRPr="00FD0F45">
              <w:t>gabaryty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05C8F34" w14:textId="23C5E64C" w:rsidR="00481CD8" w:rsidRPr="009203EF" w:rsidRDefault="00BD56EF" w:rsidP="00652E67">
            <w:pPr>
              <w:shd w:val="clear" w:color="auto" w:fill="FFFFFF"/>
              <w:spacing w:before="30" w:line="270" w:lineRule="exact"/>
              <w:rPr>
                <w:rFonts w:ascii="Arial" w:hAnsi="Arial" w:cs="Arial"/>
                <w:b/>
                <w:sz w:val="21"/>
                <w:szCs w:val="21"/>
              </w:rPr>
            </w:pPr>
            <w:r w:rsidRPr="00BD56EF">
              <w:rPr>
                <w:lang w:eastAsia="en-US"/>
              </w:rPr>
              <w:t>Nie dotyczy</w:t>
            </w:r>
          </w:p>
        </w:tc>
      </w:tr>
      <w:tr w:rsidR="00652E67" w:rsidRPr="00015907" w14:paraId="66856333"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tcBorders>
              <w:left w:val="single" w:sz="12" w:space="0" w:color="auto"/>
              <w:right w:val="single" w:sz="6" w:space="0" w:color="auto"/>
            </w:tcBorders>
            <w:shd w:val="clear" w:color="auto" w:fill="F2F2F2" w:themeFill="background1" w:themeFillShade="F2"/>
          </w:tcPr>
          <w:p w14:paraId="6EF82CDB"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41DDC5E5" w14:textId="77777777" w:rsidR="00652E67" w:rsidRPr="00FD0F45" w:rsidRDefault="00652E67" w:rsidP="00481CD8">
            <w:pPr>
              <w:shd w:val="clear" w:color="auto" w:fill="FFFFFF"/>
              <w:spacing w:before="20" w:after="10" w:line="260" w:lineRule="exact"/>
              <w:ind w:left="79" w:right="57"/>
            </w:pPr>
            <w:r w:rsidRPr="00FD0F45">
              <w:t>forma architektoniczna</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3FDB13D" w14:textId="350B3920" w:rsidR="00652E67" w:rsidRPr="009203EF" w:rsidRDefault="00BD56EF" w:rsidP="00652E67">
            <w:pPr>
              <w:shd w:val="clear" w:color="auto" w:fill="FFFFFF"/>
              <w:spacing w:before="30" w:line="270" w:lineRule="exact"/>
              <w:rPr>
                <w:rFonts w:ascii="Arial" w:hAnsi="Arial" w:cs="Arial"/>
                <w:b/>
                <w:sz w:val="21"/>
                <w:szCs w:val="21"/>
              </w:rPr>
            </w:pPr>
            <w:r w:rsidRPr="00BD56EF">
              <w:rPr>
                <w:lang w:eastAsia="en-US"/>
              </w:rPr>
              <w:t>Nie dotyczy</w:t>
            </w:r>
          </w:p>
        </w:tc>
      </w:tr>
      <w:tr w:rsidR="00652E67" w:rsidRPr="00015907" w14:paraId="37DBE64A"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tcBorders>
              <w:left w:val="single" w:sz="12" w:space="0" w:color="auto"/>
              <w:right w:val="single" w:sz="6" w:space="0" w:color="auto"/>
            </w:tcBorders>
            <w:shd w:val="clear" w:color="auto" w:fill="F2F2F2" w:themeFill="background1" w:themeFillShade="F2"/>
          </w:tcPr>
          <w:p w14:paraId="263B870D"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54B8CA4C" w14:textId="77777777" w:rsidR="00652E67" w:rsidRPr="00FD0F45" w:rsidRDefault="00652E67" w:rsidP="00481CD8">
            <w:pPr>
              <w:shd w:val="clear" w:color="auto" w:fill="FFFFFF"/>
              <w:spacing w:before="20" w:after="10" w:line="260" w:lineRule="exact"/>
              <w:ind w:left="79" w:right="57"/>
            </w:pPr>
            <w:r w:rsidRPr="00FD0F45">
              <w:t>usytuowanie linii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5035B7E0" w14:textId="018EDA05" w:rsidR="00652E67" w:rsidRPr="009203EF" w:rsidRDefault="00BD56EF" w:rsidP="00652E67">
            <w:pPr>
              <w:shd w:val="clear" w:color="auto" w:fill="FFFFFF"/>
              <w:spacing w:before="30" w:line="270" w:lineRule="exact"/>
              <w:rPr>
                <w:rFonts w:ascii="Arial" w:hAnsi="Arial" w:cs="Arial"/>
                <w:b/>
                <w:sz w:val="21"/>
                <w:szCs w:val="21"/>
              </w:rPr>
            </w:pPr>
            <w:r w:rsidRPr="00BD56EF">
              <w:rPr>
                <w:lang w:eastAsia="en-US"/>
              </w:rPr>
              <w:t>Nie dotyczy</w:t>
            </w:r>
          </w:p>
        </w:tc>
      </w:tr>
      <w:tr w:rsidR="00652E67" w:rsidRPr="00015907" w14:paraId="457C39F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2" w:type="dxa"/>
            <w:tcBorders>
              <w:left w:val="single" w:sz="12" w:space="0" w:color="auto"/>
              <w:right w:val="single" w:sz="6" w:space="0" w:color="auto"/>
            </w:tcBorders>
            <w:shd w:val="clear" w:color="auto" w:fill="F2F2F2" w:themeFill="background1" w:themeFillShade="F2"/>
          </w:tcPr>
          <w:p w14:paraId="0A1E7D87"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4EC252F3" w14:textId="77777777" w:rsidR="00652E67" w:rsidRPr="00FD0F45" w:rsidRDefault="00652E67" w:rsidP="00481CD8">
            <w:pPr>
              <w:shd w:val="clear" w:color="auto" w:fill="FFFFFF"/>
              <w:spacing w:before="20" w:after="10" w:line="260" w:lineRule="exact"/>
              <w:ind w:left="79" w:right="57"/>
            </w:pPr>
            <w:r w:rsidRPr="00FD0F45">
              <w:t>intensywność wykorzystania terenu</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FF502E1" w14:textId="5D28696C" w:rsidR="00652E67" w:rsidRPr="009203EF" w:rsidRDefault="00BD56EF" w:rsidP="00652E67">
            <w:pPr>
              <w:shd w:val="clear" w:color="auto" w:fill="FFFFFF"/>
              <w:spacing w:before="30" w:line="270" w:lineRule="exact"/>
              <w:rPr>
                <w:rFonts w:ascii="Arial" w:hAnsi="Arial" w:cs="Arial"/>
                <w:b/>
                <w:sz w:val="21"/>
                <w:szCs w:val="21"/>
              </w:rPr>
            </w:pPr>
            <w:r w:rsidRPr="00BD56EF">
              <w:rPr>
                <w:lang w:eastAsia="en-US"/>
              </w:rPr>
              <w:t>Nie dotyczy</w:t>
            </w:r>
          </w:p>
        </w:tc>
      </w:tr>
      <w:tr w:rsidR="00652E67" w:rsidRPr="00015907" w14:paraId="6410DACF"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6"/>
        </w:trPr>
        <w:tc>
          <w:tcPr>
            <w:tcW w:w="2892" w:type="dxa"/>
            <w:tcBorders>
              <w:left w:val="single" w:sz="12" w:space="0" w:color="auto"/>
              <w:right w:val="single" w:sz="6" w:space="0" w:color="auto"/>
            </w:tcBorders>
            <w:shd w:val="clear" w:color="auto" w:fill="F2F2F2" w:themeFill="background1" w:themeFillShade="F2"/>
          </w:tcPr>
          <w:p w14:paraId="49C8BCD4"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3500F3C6" w14:textId="77777777" w:rsidR="00652E67" w:rsidRPr="00FD0F45" w:rsidRDefault="00652E67" w:rsidP="00481CD8">
            <w:pPr>
              <w:shd w:val="clear" w:color="auto" w:fill="FFFFFF"/>
              <w:spacing w:before="20" w:after="10" w:line="260" w:lineRule="exact"/>
              <w:ind w:left="79" w:right="57"/>
            </w:pPr>
            <w:r w:rsidRPr="00FD0F45">
              <w:t>warunki ochrony środowiska i zdrowia ludzi, przyrody i krajobrazu</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094B5D8" w14:textId="2F60713C" w:rsidR="00652E67" w:rsidRPr="009203EF" w:rsidRDefault="00BD56EF" w:rsidP="00652E67">
            <w:pPr>
              <w:shd w:val="clear" w:color="auto" w:fill="FFFFFF"/>
              <w:spacing w:before="30" w:line="270" w:lineRule="exact"/>
              <w:rPr>
                <w:rFonts w:ascii="Arial" w:hAnsi="Arial" w:cs="Arial"/>
                <w:b/>
                <w:sz w:val="21"/>
                <w:szCs w:val="21"/>
              </w:rPr>
            </w:pPr>
            <w:r w:rsidRPr="00BD56EF">
              <w:rPr>
                <w:lang w:eastAsia="en-US"/>
              </w:rPr>
              <w:t>Nie dotyczy</w:t>
            </w:r>
          </w:p>
        </w:tc>
      </w:tr>
      <w:tr w:rsidR="00652E67" w:rsidRPr="00015907" w14:paraId="3E40632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5"/>
        </w:trPr>
        <w:tc>
          <w:tcPr>
            <w:tcW w:w="2892" w:type="dxa"/>
            <w:tcBorders>
              <w:left w:val="single" w:sz="12" w:space="0" w:color="auto"/>
              <w:right w:val="single" w:sz="6" w:space="0" w:color="auto"/>
            </w:tcBorders>
            <w:shd w:val="clear" w:color="auto" w:fill="F2F2F2" w:themeFill="background1" w:themeFillShade="F2"/>
          </w:tcPr>
          <w:p w14:paraId="75A73201"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2A3650DE" w14:textId="77777777" w:rsidR="00652E67" w:rsidRPr="00FD0F45" w:rsidRDefault="00652E67" w:rsidP="00481CD8">
            <w:pPr>
              <w:shd w:val="clear" w:color="auto" w:fill="FFFFFF"/>
              <w:spacing w:before="20" w:after="10" w:line="260" w:lineRule="exact"/>
              <w:ind w:left="79" w:right="57"/>
            </w:pPr>
            <w:r w:rsidRPr="00FD0F45">
              <w:t>wymagania dotyczące zabudowy</w:t>
            </w:r>
            <w:r>
              <w:br/>
            </w:r>
            <w:r w:rsidRPr="00FD0F45">
              <w:t>i zagospodarowania terenu położonego</w:t>
            </w:r>
            <w:r>
              <w:br/>
            </w:r>
            <w:r w:rsidRPr="00FD0F45">
              <w:t>na obszarach szczególnego zagrożenia powodzią</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0C91BE9" w14:textId="0DA28087" w:rsidR="00652E67" w:rsidRPr="009203EF" w:rsidRDefault="00BD56EF" w:rsidP="00652E67">
            <w:pPr>
              <w:shd w:val="clear" w:color="auto" w:fill="FFFFFF"/>
              <w:spacing w:before="30" w:line="270" w:lineRule="exact"/>
              <w:rPr>
                <w:rFonts w:ascii="Arial" w:hAnsi="Arial" w:cs="Arial"/>
                <w:b/>
                <w:sz w:val="21"/>
                <w:szCs w:val="21"/>
              </w:rPr>
            </w:pPr>
            <w:r w:rsidRPr="00BD56EF">
              <w:rPr>
                <w:lang w:eastAsia="en-US"/>
              </w:rPr>
              <w:t>Nie dotyczy</w:t>
            </w:r>
          </w:p>
        </w:tc>
      </w:tr>
      <w:tr w:rsidR="00652E67" w:rsidRPr="00015907" w14:paraId="70BA4333"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7"/>
        </w:trPr>
        <w:tc>
          <w:tcPr>
            <w:tcW w:w="2892" w:type="dxa"/>
            <w:tcBorders>
              <w:left w:val="single" w:sz="12" w:space="0" w:color="auto"/>
              <w:right w:val="single" w:sz="6" w:space="0" w:color="auto"/>
            </w:tcBorders>
            <w:shd w:val="clear" w:color="auto" w:fill="F2F2F2" w:themeFill="background1" w:themeFillShade="F2"/>
          </w:tcPr>
          <w:p w14:paraId="4728C123"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01862539" w14:textId="77777777" w:rsidR="00652E67" w:rsidRPr="00FD0F45" w:rsidRDefault="00652E67" w:rsidP="00481CD8">
            <w:pPr>
              <w:shd w:val="clear" w:color="auto" w:fill="FFFFFF"/>
              <w:spacing w:before="20" w:after="10" w:line="260" w:lineRule="exact"/>
              <w:ind w:left="79" w:right="57"/>
            </w:pPr>
            <w:r w:rsidRPr="00FD0F45">
              <w:t xml:space="preserve">warunki ochrony dziedzictwa kulturowego i zabytków </w:t>
            </w:r>
            <w:r w:rsidR="003133B6">
              <w:br/>
            </w:r>
            <w:r w:rsidRPr="00FD0F45">
              <w:t>oraz dóbr kultury współczesnej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24EB674" w14:textId="628DB204" w:rsidR="00652E67" w:rsidRPr="009203EF" w:rsidRDefault="00BD56EF" w:rsidP="00652E67">
            <w:pPr>
              <w:shd w:val="clear" w:color="auto" w:fill="FFFFFF"/>
              <w:spacing w:before="30" w:line="270" w:lineRule="exact"/>
              <w:rPr>
                <w:rFonts w:ascii="Arial" w:hAnsi="Arial" w:cs="Arial"/>
                <w:b/>
                <w:sz w:val="21"/>
                <w:szCs w:val="21"/>
              </w:rPr>
            </w:pPr>
            <w:r w:rsidRPr="00BD56EF">
              <w:rPr>
                <w:lang w:eastAsia="en-US"/>
              </w:rPr>
              <w:t>Nie dotyczy</w:t>
            </w:r>
          </w:p>
        </w:tc>
      </w:tr>
      <w:tr w:rsidR="00652E67" w:rsidRPr="00015907" w14:paraId="79F14D82"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6"/>
        </w:trPr>
        <w:tc>
          <w:tcPr>
            <w:tcW w:w="2892" w:type="dxa"/>
            <w:tcBorders>
              <w:left w:val="single" w:sz="12" w:space="0" w:color="auto"/>
              <w:right w:val="single" w:sz="6" w:space="0" w:color="auto"/>
            </w:tcBorders>
            <w:shd w:val="clear" w:color="auto" w:fill="F2F2F2" w:themeFill="background1" w:themeFillShade="F2"/>
          </w:tcPr>
          <w:p w14:paraId="34B0F6AC"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03F3FF60" w14:textId="77777777" w:rsidR="00652E67" w:rsidRPr="00FD0F45" w:rsidRDefault="00652E67" w:rsidP="00481CD8">
            <w:pPr>
              <w:shd w:val="clear" w:color="auto" w:fill="FFFFFF"/>
              <w:spacing w:before="20" w:after="10" w:line="260" w:lineRule="exact"/>
              <w:ind w:left="79" w:right="57"/>
            </w:pPr>
            <w:r w:rsidRPr="00FD0F45">
              <w:t>wymagania dotyczące ochrony innych terenów lub obiektów podlegających ochronie na podstawie przepisów</w:t>
            </w:r>
            <w:r>
              <w:br/>
            </w:r>
            <w:r w:rsidRPr="00FD0F45">
              <w:t>odrębnych</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298C604" w14:textId="786E1757" w:rsidR="00652E67" w:rsidRPr="009203EF" w:rsidRDefault="00BD56EF" w:rsidP="00652E67">
            <w:pPr>
              <w:shd w:val="clear" w:color="auto" w:fill="FFFFFF"/>
              <w:spacing w:before="30" w:line="270" w:lineRule="exact"/>
              <w:rPr>
                <w:rFonts w:ascii="Arial" w:hAnsi="Arial" w:cs="Arial"/>
                <w:b/>
                <w:sz w:val="21"/>
                <w:szCs w:val="21"/>
              </w:rPr>
            </w:pPr>
            <w:r w:rsidRPr="00BD56EF">
              <w:rPr>
                <w:lang w:eastAsia="en-US"/>
              </w:rPr>
              <w:t>Nie dotyczy</w:t>
            </w:r>
          </w:p>
        </w:tc>
      </w:tr>
      <w:tr w:rsidR="00652E67" w:rsidRPr="00015907" w14:paraId="2A18A44C"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2892" w:type="dxa"/>
            <w:tcBorders>
              <w:left w:val="single" w:sz="12" w:space="0" w:color="auto"/>
              <w:right w:val="single" w:sz="6" w:space="0" w:color="auto"/>
            </w:tcBorders>
            <w:shd w:val="clear" w:color="auto" w:fill="F2F2F2" w:themeFill="background1" w:themeFillShade="F2"/>
          </w:tcPr>
          <w:p w14:paraId="39376E10" w14:textId="77777777" w:rsidR="00652E67" w:rsidRPr="00B66790" w:rsidRDefault="00652E67" w:rsidP="00652E67">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1E861CC7" w14:textId="77777777" w:rsidR="00652E67" w:rsidRPr="00FD0F45" w:rsidRDefault="00652E67" w:rsidP="00481CD8">
            <w:pPr>
              <w:shd w:val="clear" w:color="auto" w:fill="FFFFFF"/>
              <w:spacing w:before="20" w:after="10" w:line="260" w:lineRule="exact"/>
              <w:ind w:left="79" w:right="57"/>
            </w:pPr>
            <w:r w:rsidRPr="00FD0F45">
              <w:t>warunki i szczegółowe zasady obsługi</w:t>
            </w:r>
            <w:r>
              <w:br/>
            </w:r>
            <w:r w:rsidRPr="00FD0F45">
              <w:t>w zakresie komunikacji</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A0AC447" w14:textId="592283C4" w:rsidR="00652E67" w:rsidRPr="009203EF" w:rsidRDefault="00BD56EF" w:rsidP="00652E67">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075FC247"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2892" w:type="dxa"/>
            <w:tcBorders>
              <w:left w:val="single" w:sz="12" w:space="0" w:color="auto"/>
              <w:right w:val="single" w:sz="6" w:space="0" w:color="auto"/>
            </w:tcBorders>
            <w:shd w:val="clear" w:color="auto" w:fill="F2F2F2" w:themeFill="background1" w:themeFillShade="F2"/>
          </w:tcPr>
          <w:p w14:paraId="0E63BC8C"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2344FE88" w14:textId="77777777" w:rsidR="00481CD8" w:rsidRPr="00FD0F45" w:rsidRDefault="00481CD8" w:rsidP="00481CD8">
            <w:pPr>
              <w:shd w:val="clear" w:color="auto" w:fill="FFFFFF"/>
              <w:spacing w:before="20" w:after="10" w:line="260" w:lineRule="exact"/>
              <w:ind w:left="79" w:right="57"/>
            </w:pPr>
            <w:r w:rsidRPr="00FD0F45">
              <w:t>warunki i szczegółowe zasady obsługi</w:t>
            </w:r>
            <w:r>
              <w:br/>
            </w:r>
            <w:r w:rsidRPr="00FD0F45">
              <w:t>w zakresie infrastruktury technicznej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8E57FAC" w14:textId="65F7BA72"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2C30432A"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2892" w:type="dxa"/>
            <w:tcBorders>
              <w:left w:val="single" w:sz="12" w:space="0" w:color="auto"/>
              <w:right w:val="single" w:sz="6" w:space="0" w:color="auto"/>
            </w:tcBorders>
            <w:shd w:val="clear" w:color="auto" w:fill="F2F2F2" w:themeFill="background1" w:themeFillShade="F2"/>
          </w:tcPr>
          <w:p w14:paraId="7FACDAA2"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254C6593" w14:textId="77777777" w:rsidR="00481CD8" w:rsidRPr="00FD0F45" w:rsidRDefault="00481CD8" w:rsidP="00481CD8">
            <w:pPr>
              <w:shd w:val="clear" w:color="auto" w:fill="FFFFFF"/>
              <w:spacing w:before="20" w:after="10" w:line="260" w:lineRule="exact"/>
              <w:ind w:left="79" w:right="57"/>
            </w:pPr>
            <w:r w:rsidRPr="00481CD8">
              <w:t>minimalny udział procentowy powierzchni biologicznie czynnej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EE18174" w14:textId="27EA6840"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4CD7F5C4"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2892" w:type="dxa"/>
            <w:tcBorders>
              <w:left w:val="single" w:sz="12" w:space="0" w:color="auto"/>
              <w:right w:val="single" w:sz="6" w:space="0" w:color="auto"/>
            </w:tcBorders>
            <w:shd w:val="clear" w:color="auto" w:fill="F2F2F2" w:themeFill="background1" w:themeFillShade="F2"/>
          </w:tcPr>
          <w:p w14:paraId="528D7E32"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192F1923" w14:textId="77777777" w:rsidR="00481CD8" w:rsidRPr="00FD0F45" w:rsidRDefault="00481CD8" w:rsidP="00481CD8">
            <w:pPr>
              <w:shd w:val="clear" w:color="auto" w:fill="FFFFFF"/>
              <w:spacing w:before="20" w:after="10" w:line="260" w:lineRule="exact"/>
              <w:ind w:left="79" w:right="57"/>
            </w:pPr>
            <w:r w:rsidRPr="00481CD8">
              <w:t>nadziemna intensywność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3EE40671" w14:textId="2F39FE82"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0C0DFC4F"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2892" w:type="dxa"/>
            <w:tcBorders>
              <w:left w:val="single" w:sz="12" w:space="0" w:color="auto"/>
              <w:bottom w:val="single" w:sz="6" w:space="0" w:color="auto"/>
              <w:right w:val="single" w:sz="6" w:space="0" w:color="auto"/>
            </w:tcBorders>
            <w:shd w:val="clear" w:color="auto" w:fill="F2F2F2" w:themeFill="background1" w:themeFillShade="F2"/>
          </w:tcPr>
          <w:p w14:paraId="13FC3C71"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4EA78587" w14:textId="77777777" w:rsidR="00481CD8" w:rsidRPr="00FD0F45" w:rsidRDefault="00481CD8" w:rsidP="00481CD8">
            <w:pPr>
              <w:shd w:val="clear" w:color="auto" w:fill="FFFFFF"/>
              <w:spacing w:before="20" w:after="10" w:line="260" w:lineRule="exact"/>
              <w:ind w:left="79" w:right="57"/>
            </w:pPr>
            <w:r w:rsidRPr="00481CD8">
              <w:t>wysokość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BBA7B04" w14:textId="4989BE83"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7DFFF2D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2892" w:type="dxa"/>
            <w:vMerge w:val="restart"/>
            <w:tcBorders>
              <w:top w:val="single" w:sz="6" w:space="0" w:color="auto"/>
              <w:left w:val="single" w:sz="12" w:space="0" w:color="auto"/>
              <w:right w:val="single" w:sz="6" w:space="0" w:color="auto"/>
            </w:tcBorders>
            <w:shd w:val="clear" w:color="auto" w:fill="F2F2F2" w:themeFill="background1" w:themeFillShade="F2"/>
          </w:tcPr>
          <w:p w14:paraId="0F950A7D" w14:textId="77777777" w:rsidR="00481CD8" w:rsidRPr="00B66790" w:rsidRDefault="00481CD8" w:rsidP="00481CD8">
            <w:pPr>
              <w:spacing w:before="20" w:after="10" w:line="260" w:lineRule="exact"/>
              <w:ind w:left="57" w:right="-57"/>
            </w:pPr>
            <w:r w:rsidRPr="00FD0F45">
              <w:lastRenderedPageBreak/>
              <w:t>Informacje dotyczące przewidzianych inwestycji</w:t>
            </w:r>
            <w:r>
              <w:br/>
            </w:r>
            <w:r w:rsidRPr="00FD0F45">
              <w:t>w promieniu 1 km od terenu</w:t>
            </w:r>
            <w:r>
              <w:br/>
            </w:r>
            <w:r w:rsidRPr="00FD0F45">
              <w:t>objętego przedsięwzięciem</w:t>
            </w:r>
            <w:r>
              <w:br/>
            </w:r>
            <w:r w:rsidRPr="00FD0F45">
              <w:t>deweloperskim lub zadaniem</w:t>
            </w:r>
            <w:r>
              <w:br/>
            </w:r>
            <w:r w:rsidRPr="00FD0F45">
              <w:t>inwestycyjnym</w:t>
            </w:r>
            <w:r w:rsidRPr="0014178B">
              <w:rPr>
                <w:vertAlign w:val="superscript"/>
              </w:rPr>
              <w:footnoteReference w:id="7"/>
            </w:r>
            <w:r w:rsidRPr="00FD0F45">
              <w:t>, zawarte w:</w:t>
            </w: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63C02231" w14:textId="77777777" w:rsidR="00481CD8" w:rsidRPr="005303DC" w:rsidRDefault="00481CD8" w:rsidP="00481CD8">
            <w:pPr>
              <w:shd w:val="clear" w:color="auto" w:fill="FFFFFF"/>
              <w:spacing w:before="20" w:after="10" w:line="260" w:lineRule="exact"/>
              <w:ind w:left="79" w:right="57"/>
            </w:pPr>
            <w:r w:rsidRPr="00481CD8">
              <w:t>miejscowych planach zagospodarowania przestrzennego</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5CECA843" w14:textId="280CD697"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1F3BEBFC"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2892" w:type="dxa"/>
            <w:vMerge/>
            <w:tcBorders>
              <w:left w:val="single" w:sz="12" w:space="0" w:color="auto"/>
              <w:right w:val="single" w:sz="6" w:space="0" w:color="auto"/>
            </w:tcBorders>
            <w:shd w:val="clear" w:color="auto" w:fill="F2F2F2" w:themeFill="background1" w:themeFillShade="F2"/>
          </w:tcPr>
          <w:p w14:paraId="5F1446DF"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27EFC356" w14:textId="77777777" w:rsidR="00481CD8" w:rsidRPr="00FD0F45" w:rsidRDefault="00481CD8" w:rsidP="00481CD8">
            <w:pPr>
              <w:shd w:val="clear" w:color="auto" w:fill="FFFFFF"/>
              <w:spacing w:before="20" w:after="10" w:line="260" w:lineRule="exact"/>
              <w:ind w:left="79" w:right="57"/>
            </w:pPr>
            <w:r w:rsidRPr="00481CD8">
              <w:t xml:space="preserve">decyzjach o warunkach zabudowy </w:t>
            </w:r>
            <w:r>
              <w:br/>
            </w:r>
            <w:r w:rsidRPr="00481CD8">
              <w:t>i zagospodarowania terenu</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34258A6B" w14:textId="5A5D2044"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3CA3C184"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2892" w:type="dxa"/>
            <w:vMerge/>
            <w:tcBorders>
              <w:left w:val="single" w:sz="12" w:space="0" w:color="auto"/>
              <w:right w:val="single" w:sz="6" w:space="0" w:color="auto"/>
            </w:tcBorders>
            <w:shd w:val="clear" w:color="auto" w:fill="F2F2F2" w:themeFill="background1" w:themeFillShade="F2"/>
          </w:tcPr>
          <w:p w14:paraId="58D8F677"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16741DDB" w14:textId="77777777" w:rsidR="00481CD8" w:rsidRPr="00FD0F45" w:rsidRDefault="00481CD8" w:rsidP="00481CD8">
            <w:pPr>
              <w:shd w:val="clear" w:color="auto" w:fill="FFFFFF"/>
              <w:spacing w:before="20" w:after="10" w:line="260" w:lineRule="exact"/>
              <w:ind w:left="79" w:right="57"/>
            </w:pPr>
            <w:r w:rsidRPr="00481CD8">
              <w:t>decyzjach o środowiskowych uwarunkowaniach</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FAA203D" w14:textId="5AB7D538"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7F9561CD"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2892" w:type="dxa"/>
            <w:vMerge/>
            <w:tcBorders>
              <w:left w:val="single" w:sz="12" w:space="0" w:color="auto"/>
              <w:right w:val="single" w:sz="6" w:space="0" w:color="auto"/>
            </w:tcBorders>
            <w:shd w:val="clear" w:color="auto" w:fill="F2F2F2" w:themeFill="background1" w:themeFillShade="F2"/>
          </w:tcPr>
          <w:p w14:paraId="7143BA72"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4E548AEB" w14:textId="77777777" w:rsidR="00481CD8" w:rsidRPr="00FD0F45" w:rsidRDefault="00481CD8" w:rsidP="00481CD8">
            <w:pPr>
              <w:shd w:val="clear" w:color="auto" w:fill="FFFFFF"/>
              <w:spacing w:before="20" w:after="10" w:line="260" w:lineRule="exact"/>
              <w:ind w:left="79" w:right="57"/>
            </w:pPr>
            <w:r w:rsidRPr="00481CD8">
              <w:t>uchwałach o obszarach ograniczonego użytkowania</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C623B9B" w14:textId="7770774D"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6198B56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2892" w:type="dxa"/>
            <w:vMerge/>
            <w:tcBorders>
              <w:left w:val="single" w:sz="12" w:space="0" w:color="auto"/>
              <w:right w:val="single" w:sz="6" w:space="0" w:color="auto"/>
            </w:tcBorders>
            <w:shd w:val="clear" w:color="auto" w:fill="F2F2F2" w:themeFill="background1" w:themeFillShade="F2"/>
          </w:tcPr>
          <w:p w14:paraId="20D5F407"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4AFF8270" w14:textId="77777777" w:rsidR="00481CD8" w:rsidRPr="00FD0F45" w:rsidRDefault="00481CD8" w:rsidP="00481CD8">
            <w:pPr>
              <w:shd w:val="clear" w:color="auto" w:fill="FFFFFF"/>
              <w:spacing w:before="20" w:after="10" w:line="260" w:lineRule="exact"/>
              <w:ind w:left="79" w:right="57"/>
            </w:pPr>
            <w:r w:rsidRPr="00481CD8">
              <w:t>miejscowych planach odbudowy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73BF0FB" w14:textId="384A5E42"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25899B72"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2892" w:type="dxa"/>
            <w:vMerge/>
            <w:tcBorders>
              <w:left w:val="single" w:sz="12" w:space="0" w:color="auto"/>
              <w:right w:val="single" w:sz="6" w:space="0" w:color="auto"/>
            </w:tcBorders>
            <w:shd w:val="clear" w:color="auto" w:fill="F2F2F2" w:themeFill="background1" w:themeFillShade="F2"/>
          </w:tcPr>
          <w:p w14:paraId="3A744A06"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1A488998" w14:textId="77777777" w:rsidR="00481CD8" w:rsidRPr="00FD0F45" w:rsidRDefault="00481CD8" w:rsidP="00481CD8">
            <w:pPr>
              <w:shd w:val="clear" w:color="auto" w:fill="FFFFFF"/>
              <w:spacing w:before="20" w:after="10" w:line="260" w:lineRule="exact"/>
              <w:ind w:left="79" w:right="57"/>
            </w:pPr>
            <w:r w:rsidRPr="00481CD8">
              <w:t xml:space="preserve">mapach zagrożenia powodziowego </w:t>
            </w:r>
            <w:r>
              <w:br/>
            </w:r>
            <w:r w:rsidRPr="00481CD8">
              <w:t>i mapach ryzyka powodziowego</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BD355A5" w14:textId="0DFC7DA0"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dotyczy</w:t>
            </w:r>
          </w:p>
        </w:tc>
      </w:tr>
      <w:tr w:rsidR="00481CD8" w:rsidRPr="00015907" w14:paraId="2A08D607"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2"/>
        </w:trPr>
        <w:tc>
          <w:tcPr>
            <w:tcW w:w="2892" w:type="dxa"/>
            <w:tcBorders>
              <w:left w:val="single" w:sz="12" w:space="0" w:color="auto"/>
              <w:right w:val="single" w:sz="6" w:space="0" w:color="auto"/>
            </w:tcBorders>
            <w:shd w:val="clear" w:color="auto" w:fill="F2F2F2" w:themeFill="background1" w:themeFillShade="F2"/>
          </w:tcPr>
          <w:p w14:paraId="2B1D2BAC" w14:textId="77777777" w:rsidR="00481CD8" w:rsidRPr="00B66790" w:rsidRDefault="00481CD8" w:rsidP="00481CD8">
            <w:pPr>
              <w:spacing w:before="120" w:after="10" w:line="260" w:lineRule="exact"/>
              <w:ind w:left="57" w:right="-57"/>
            </w:pP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1921355C" w14:textId="77777777" w:rsidR="00481CD8" w:rsidRPr="00D93953" w:rsidRDefault="00481CD8" w:rsidP="009A0C09">
            <w:pPr>
              <w:shd w:val="clear" w:color="auto" w:fill="FFFFFF"/>
              <w:spacing w:before="20" w:after="10" w:line="260" w:lineRule="exact"/>
              <w:ind w:left="79" w:right="57"/>
            </w:pPr>
            <w:r w:rsidRPr="00D93953">
              <w:t>Ustalenia decyzji w zakresie rozmieszczenia inwestycji celu publicznego, mogące mieć znaczenie dla terenu objętego przedsięwzięciem deweloperskim lub zadaniem inwestycyjnym:</w:t>
            </w:r>
          </w:p>
        </w:tc>
      </w:tr>
      <w:tr w:rsidR="00481CD8" w:rsidRPr="00015907" w14:paraId="0BEDC64B"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2892" w:type="dxa"/>
            <w:vMerge w:val="restart"/>
            <w:tcBorders>
              <w:left w:val="single" w:sz="12" w:space="0" w:color="auto"/>
              <w:right w:val="single" w:sz="6" w:space="0" w:color="auto"/>
            </w:tcBorders>
            <w:shd w:val="clear" w:color="auto" w:fill="F2F2F2" w:themeFill="background1" w:themeFillShade="F2"/>
          </w:tcPr>
          <w:p w14:paraId="30078896"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2C0FA541" w14:textId="77777777" w:rsidR="00481CD8" w:rsidRPr="005303DC" w:rsidRDefault="00481CD8" w:rsidP="009A0C09">
            <w:pPr>
              <w:shd w:val="clear" w:color="auto" w:fill="FFFFFF"/>
              <w:spacing w:before="20" w:after="10" w:line="260" w:lineRule="exact"/>
              <w:ind w:left="79" w:right="57"/>
            </w:pPr>
            <w:r w:rsidRPr="00D93953">
              <w:t>decyzja o zezwoleniu na realizację inwestycji drogowej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F438261" w14:textId="1EA4F047"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Planowa budowa drogi dojazdowej (droga gmina), poprzez zmianę jej z utwardzonej na asfaltową, a także przebudowa drogi gminnej</w:t>
            </w:r>
          </w:p>
        </w:tc>
      </w:tr>
      <w:tr w:rsidR="00481CD8" w:rsidRPr="00015907" w14:paraId="44DF9D2D"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2892" w:type="dxa"/>
            <w:vMerge/>
            <w:tcBorders>
              <w:left w:val="single" w:sz="12" w:space="0" w:color="auto"/>
              <w:right w:val="single" w:sz="6" w:space="0" w:color="auto"/>
            </w:tcBorders>
            <w:shd w:val="clear" w:color="auto" w:fill="F2F2F2" w:themeFill="background1" w:themeFillShade="F2"/>
          </w:tcPr>
          <w:p w14:paraId="3BDCD2E2"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21930551" w14:textId="77777777" w:rsidR="00481CD8" w:rsidRPr="00FD0F45" w:rsidRDefault="00481CD8" w:rsidP="009A0C09">
            <w:pPr>
              <w:shd w:val="clear" w:color="auto" w:fill="FFFFFF"/>
              <w:spacing w:before="20" w:after="10" w:line="260" w:lineRule="exact"/>
              <w:ind w:left="79" w:right="57"/>
            </w:pPr>
            <w:r w:rsidRPr="00D93953">
              <w:t>decyzja o ustaleniu lokalizacji linii kolejowej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03FA668" w14:textId="7C39232C"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w:t>
            </w:r>
            <w:r w:rsidR="005A73B5">
              <w:rPr>
                <w:lang w:eastAsia="en-US"/>
              </w:rPr>
              <w:t>y</w:t>
            </w:r>
          </w:p>
        </w:tc>
      </w:tr>
      <w:tr w:rsidR="00481CD8" w:rsidRPr="00015907" w14:paraId="159CCFBC"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892" w:type="dxa"/>
            <w:tcBorders>
              <w:left w:val="single" w:sz="12" w:space="0" w:color="auto"/>
              <w:right w:val="single" w:sz="6" w:space="0" w:color="auto"/>
            </w:tcBorders>
            <w:shd w:val="clear" w:color="auto" w:fill="F2F2F2" w:themeFill="background1" w:themeFillShade="F2"/>
          </w:tcPr>
          <w:p w14:paraId="519DA66E"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2806B70F" w14:textId="77777777" w:rsidR="00481CD8" w:rsidRPr="00FD0F45" w:rsidRDefault="00481CD8" w:rsidP="009A0C09">
            <w:pPr>
              <w:shd w:val="clear" w:color="auto" w:fill="FFFFFF"/>
              <w:spacing w:before="20" w:after="10" w:line="260" w:lineRule="exact"/>
              <w:ind w:left="79" w:right="57"/>
            </w:pPr>
            <w:r w:rsidRPr="00D93953">
              <w:t>decyzja o zezwoleniu na realizację inwestycji w zakresie lotniska użytku publicznego</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4A97FE9" w14:textId="37074C7D"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w:t>
            </w:r>
            <w:r w:rsidR="005A73B5">
              <w:rPr>
                <w:lang w:eastAsia="en-US"/>
              </w:rPr>
              <w:t>y</w:t>
            </w:r>
          </w:p>
        </w:tc>
      </w:tr>
      <w:tr w:rsidR="00481CD8" w:rsidRPr="00015907" w14:paraId="7EE57EF5"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892" w:type="dxa"/>
            <w:tcBorders>
              <w:left w:val="single" w:sz="12" w:space="0" w:color="auto"/>
              <w:right w:val="single" w:sz="6" w:space="0" w:color="auto"/>
            </w:tcBorders>
            <w:shd w:val="clear" w:color="auto" w:fill="F2F2F2" w:themeFill="background1" w:themeFillShade="F2"/>
          </w:tcPr>
          <w:p w14:paraId="3BDA1AB7"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393FB9E5" w14:textId="77777777" w:rsidR="00481CD8" w:rsidRPr="00FD0F45" w:rsidRDefault="00481CD8" w:rsidP="009A0C09">
            <w:pPr>
              <w:shd w:val="clear" w:color="auto" w:fill="FFFFFF"/>
              <w:spacing w:before="20" w:after="10" w:line="260" w:lineRule="exact"/>
              <w:ind w:left="79" w:right="57"/>
            </w:pPr>
            <w:r w:rsidRPr="00D93953">
              <w:t xml:space="preserve">decyzja o pozwoleniu na realizację inwestycji w zakresie budowli </w:t>
            </w:r>
            <w:r w:rsidR="009A0C09">
              <w:br/>
            </w:r>
            <w:r w:rsidRPr="00D93953">
              <w:t>przeciwpowodziowych</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5CCB50BE" w14:textId="2E0E3AD7" w:rsidR="00481CD8" w:rsidRPr="009203EF" w:rsidRDefault="00BD56EF" w:rsidP="00481CD8">
            <w:pPr>
              <w:shd w:val="clear" w:color="auto" w:fill="FFFFFF"/>
              <w:spacing w:before="30" w:line="270" w:lineRule="exact"/>
              <w:rPr>
                <w:rFonts w:ascii="Arial" w:hAnsi="Arial" w:cs="Arial"/>
                <w:b/>
                <w:sz w:val="21"/>
                <w:szCs w:val="21"/>
              </w:rPr>
            </w:pPr>
            <w:r w:rsidRPr="00BD56EF">
              <w:rPr>
                <w:lang w:eastAsia="en-US"/>
              </w:rPr>
              <w:t>Nie dotycz</w:t>
            </w:r>
            <w:r w:rsidR="005A73B5">
              <w:rPr>
                <w:lang w:eastAsia="en-US"/>
              </w:rPr>
              <w:t>y</w:t>
            </w:r>
          </w:p>
        </w:tc>
      </w:tr>
      <w:tr w:rsidR="00481CD8" w:rsidRPr="00015907" w14:paraId="2A62D564"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892" w:type="dxa"/>
            <w:tcBorders>
              <w:left w:val="single" w:sz="12" w:space="0" w:color="auto"/>
              <w:right w:val="single" w:sz="6" w:space="0" w:color="auto"/>
            </w:tcBorders>
            <w:shd w:val="clear" w:color="auto" w:fill="F2F2F2" w:themeFill="background1" w:themeFillShade="F2"/>
          </w:tcPr>
          <w:p w14:paraId="45447976"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6EF47277" w14:textId="77777777" w:rsidR="00481CD8" w:rsidRPr="00D93953" w:rsidRDefault="00481CD8" w:rsidP="009A0C09">
            <w:pPr>
              <w:shd w:val="clear" w:color="auto" w:fill="FFFFFF"/>
              <w:spacing w:before="20" w:after="10" w:line="260" w:lineRule="exact"/>
              <w:ind w:left="79" w:right="57"/>
            </w:pPr>
            <w:r w:rsidRPr="00D93953">
              <w:t>decyzja o ustaleniu lokalizacji inwestycji w zakresie budowy obiektu energetyki jądrowej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32D82DD3" w14:textId="72F4255E" w:rsidR="00481CD8" w:rsidRPr="009203EF" w:rsidRDefault="00CF1E8B" w:rsidP="00481CD8">
            <w:pPr>
              <w:shd w:val="clear" w:color="auto" w:fill="FFFFFF"/>
              <w:spacing w:before="30" w:line="270" w:lineRule="exact"/>
              <w:rPr>
                <w:rFonts w:ascii="Arial" w:hAnsi="Arial" w:cs="Arial"/>
                <w:b/>
                <w:sz w:val="21"/>
                <w:szCs w:val="21"/>
              </w:rPr>
            </w:pPr>
            <w:r w:rsidRPr="00CF1E8B">
              <w:rPr>
                <w:lang w:eastAsia="en-US"/>
              </w:rPr>
              <w:t>Nie dotycz</w:t>
            </w:r>
            <w:r w:rsidR="005A73B5">
              <w:rPr>
                <w:lang w:eastAsia="en-US"/>
              </w:rPr>
              <w:t>y</w:t>
            </w:r>
          </w:p>
        </w:tc>
      </w:tr>
      <w:tr w:rsidR="00481CD8" w:rsidRPr="00015907" w14:paraId="14B6C7C1"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2"/>
        </w:trPr>
        <w:tc>
          <w:tcPr>
            <w:tcW w:w="2892" w:type="dxa"/>
            <w:tcBorders>
              <w:left w:val="single" w:sz="12" w:space="0" w:color="auto"/>
              <w:right w:val="single" w:sz="6" w:space="0" w:color="auto"/>
            </w:tcBorders>
            <w:shd w:val="clear" w:color="auto" w:fill="F2F2F2" w:themeFill="background1" w:themeFillShade="F2"/>
          </w:tcPr>
          <w:p w14:paraId="2CA119B9"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3B64911E" w14:textId="77777777" w:rsidR="00481CD8" w:rsidRPr="00D93953" w:rsidRDefault="00481CD8" w:rsidP="009A0C09">
            <w:pPr>
              <w:shd w:val="clear" w:color="auto" w:fill="FFFFFF"/>
              <w:spacing w:before="20" w:after="10" w:line="260" w:lineRule="exact"/>
              <w:ind w:left="79" w:right="57"/>
            </w:pPr>
            <w:r w:rsidRPr="00D93953">
              <w:t xml:space="preserve">decyzja o ustaleniu lokalizacji </w:t>
            </w:r>
            <w:r w:rsidR="009A0C09">
              <w:br/>
            </w:r>
            <w:r>
              <w:t>strategi</w:t>
            </w:r>
            <w:r w:rsidRPr="00D93953">
              <w:t>cznej inwestycji w zakresie sieci przesyłowej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C200D9C" w14:textId="1B4A6A22" w:rsidR="00481CD8" w:rsidRPr="009203EF" w:rsidRDefault="00CF1E8B" w:rsidP="00481CD8">
            <w:pPr>
              <w:shd w:val="clear" w:color="auto" w:fill="FFFFFF"/>
              <w:spacing w:before="30" w:line="270" w:lineRule="exact"/>
              <w:rPr>
                <w:rFonts w:ascii="Arial" w:hAnsi="Arial" w:cs="Arial"/>
                <w:b/>
                <w:sz w:val="21"/>
                <w:szCs w:val="21"/>
              </w:rPr>
            </w:pPr>
            <w:r w:rsidRPr="00CF1E8B">
              <w:rPr>
                <w:lang w:eastAsia="en-US"/>
              </w:rPr>
              <w:t>Nie dotycz</w:t>
            </w:r>
            <w:r w:rsidR="005A73B5">
              <w:rPr>
                <w:lang w:eastAsia="en-US"/>
              </w:rPr>
              <w:t>y</w:t>
            </w:r>
          </w:p>
        </w:tc>
      </w:tr>
      <w:tr w:rsidR="00481CD8" w:rsidRPr="00015907" w14:paraId="009F822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1"/>
        </w:trPr>
        <w:tc>
          <w:tcPr>
            <w:tcW w:w="2892" w:type="dxa"/>
            <w:tcBorders>
              <w:left w:val="single" w:sz="12" w:space="0" w:color="auto"/>
              <w:right w:val="single" w:sz="6" w:space="0" w:color="auto"/>
            </w:tcBorders>
            <w:shd w:val="clear" w:color="auto" w:fill="F2F2F2" w:themeFill="background1" w:themeFillShade="F2"/>
          </w:tcPr>
          <w:p w14:paraId="431A05CA"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585CE595" w14:textId="77777777" w:rsidR="00481CD8" w:rsidRPr="00D93953" w:rsidRDefault="00481CD8" w:rsidP="009A0C09">
            <w:pPr>
              <w:shd w:val="clear" w:color="auto" w:fill="FFFFFF"/>
              <w:spacing w:before="20" w:after="10" w:line="260" w:lineRule="exact"/>
              <w:ind w:left="79" w:right="57"/>
            </w:pPr>
            <w:r w:rsidRPr="00D93953">
              <w:t>decyzja o ustaleniu lokalizacji regio</w:t>
            </w:r>
            <w:r>
              <w:t>nal</w:t>
            </w:r>
            <w:r w:rsidRPr="00D93953">
              <w:t>nej sieci szerokopasmowej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EE05EBD" w14:textId="10D64BE2" w:rsidR="00481CD8" w:rsidRPr="009203EF" w:rsidRDefault="00CF1E8B" w:rsidP="00481CD8">
            <w:pPr>
              <w:shd w:val="clear" w:color="auto" w:fill="FFFFFF"/>
              <w:spacing w:before="30" w:line="270" w:lineRule="exact"/>
              <w:rPr>
                <w:rFonts w:ascii="Arial" w:hAnsi="Arial" w:cs="Arial"/>
                <w:b/>
                <w:sz w:val="21"/>
                <w:szCs w:val="21"/>
              </w:rPr>
            </w:pPr>
            <w:r w:rsidRPr="00CF1E8B">
              <w:rPr>
                <w:lang w:eastAsia="en-US"/>
              </w:rPr>
              <w:t>Nie dotycz</w:t>
            </w:r>
            <w:r w:rsidR="005A73B5">
              <w:rPr>
                <w:lang w:eastAsia="en-US"/>
              </w:rPr>
              <w:t>y</w:t>
            </w:r>
          </w:p>
        </w:tc>
      </w:tr>
      <w:tr w:rsidR="00481CD8" w:rsidRPr="00015907" w14:paraId="4934AD44"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892" w:type="dxa"/>
            <w:tcBorders>
              <w:left w:val="single" w:sz="12" w:space="0" w:color="auto"/>
              <w:right w:val="single" w:sz="6" w:space="0" w:color="auto"/>
            </w:tcBorders>
            <w:shd w:val="clear" w:color="auto" w:fill="F2F2F2" w:themeFill="background1" w:themeFillShade="F2"/>
          </w:tcPr>
          <w:p w14:paraId="0250F800"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7746C5B4" w14:textId="77777777" w:rsidR="00481CD8" w:rsidRPr="00D93953" w:rsidRDefault="00481CD8" w:rsidP="009A0C09">
            <w:pPr>
              <w:shd w:val="clear" w:color="auto" w:fill="FFFFFF"/>
              <w:spacing w:before="20" w:after="10" w:line="260" w:lineRule="exact"/>
              <w:ind w:left="79" w:right="57"/>
            </w:pPr>
            <w:r w:rsidRPr="00D93953">
              <w:t xml:space="preserve">decyzja o ustaleniu lokalizacji inwestycji w zakresie Centralnego Portu </w:t>
            </w:r>
            <w:r w:rsidR="009A0C09">
              <w:br/>
            </w:r>
            <w:r w:rsidRPr="00D93953">
              <w:t>Komunikacyjnego</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11B8E72" w14:textId="0829D30E" w:rsidR="00481CD8" w:rsidRPr="009203EF" w:rsidRDefault="00CF1E8B" w:rsidP="00481CD8">
            <w:pPr>
              <w:shd w:val="clear" w:color="auto" w:fill="FFFFFF"/>
              <w:spacing w:before="30" w:line="270" w:lineRule="exact"/>
              <w:rPr>
                <w:rFonts w:ascii="Arial" w:hAnsi="Arial" w:cs="Arial"/>
                <w:b/>
                <w:sz w:val="21"/>
                <w:szCs w:val="21"/>
              </w:rPr>
            </w:pPr>
            <w:r w:rsidRPr="00CF1E8B">
              <w:rPr>
                <w:lang w:eastAsia="en-US"/>
              </w:rPr>
              <w:t>Nie dotycz</w:t>
            </w:r>
            <w:r w:rsidR="005A73B5">
              <w:rPr>
                <w:lang w:eastAsia="en-US"/>
              </w:rPr>
              <w:t>y</w:t>
            </w:r>
          </w:p>
        </w:tc>
      </w:tr>
      <w:tr w:rsidR="00481CD8" w:rsidRPr="00015907" w14:paraId="3D3FCF03"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892" w:type="dxa"/>
            <w:tcBorders>
              <w:left w:val="single" w:sz="12" w:space="0" w:color="auto"/>
              <w:right w:val="single" w:sz="6" w:space="0" w:color="auto"/>
            </w:tcBorders>
            <w:shd w:val="clear" w:color="auto" w:fill="F2F2F2" w:themeFill="background1" w:themeFillShade="F2"/>
          </w:tcPr>
          <w:p w14:paraId="04E7DB4E"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4DD4EB65" w14:textId="77777777" w:rsidR="00481CD8" w:rsidRPr="00D93953" w:rsidRDefault="00481CD8" w:rsidP="009A0C09">
            <w:pPr>
              <w:shd w:val="clear" w:color="auto" w:fill="FFFFFF"/>
              <w:spacing w:before="20" w:after="10" w:line="260" w:lineRule="exact"/>
              <w:ind w:left="79" w:right="57"/>
            </w:pPr>
            <w:r w:rsidRPr="00D93953">
              <w:t>decyzja o zezwoleniu na realizację inwestycji w zakresie infrastruktury dostępowej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C575409" w14:textId="47926B2B" w:rsidR="00481CD8" w:rsidRPr="009203EF" w:rsidRDefault="00CF1E8B" w:rsidP="00481CD8">
            <w:pPr>
              <w:shd w:val="clear" w:color="auto" w:fill="FFFFFF"/>
              <w:spacing w:before="30" w:line="270" w:lineRule="exact"/>
              <w:rPr>
                <w:rFonts w:ascii="Arial" w:hAnsi="Arial" w:cs="Arial"/>
                <w:b/>
                <w:sz w:val="21"/>
                <w:szCs w:val="21"/>
              </w:rPr>
            </w:pPr>
            <w:r w:rsidRPr="00CF1E8B">
              <w:rPr>
                <w:lang w:eastAsia="en-US"/>
              </w:rPr>
              <w:t>Nie dotycz</w:t>
            </w:r>
            <w:r w:rsidR="005A73B5">
              <w:rPr>
                <w:lang w:eastAsia="en-US"/>
              </w:rPr>
              <w:t>y</w:t>
            </w:r>
          </w:p>
        </w:tc>
      </w:tr>
      <w:tr w:rsidR="00481CD8" w:rsidRPr="00015907" w14:paraId="1E8A0FAD"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8"/>
        </w:trPr>
        <w:tc>
          <w:tcPr>
            <w:tcW w:w="2892" w:type="dxa"/>
            <w:tcBorders>
              <w:left w:val="single" w:sz="12" w:space="0" w:color="auto"/>
              <w:right w:val="single" w:sz="6" w:space="0" w:color="auto"/>
            </w:tcBorders>
            <w:shd w:val="clear" w:color="auto" w:fill="F2F2F2" w:themeFill="background1" w:themeFillShade="F2"/>
          </w:tcPr>
          <w:p w14:paraId="53F575BD" w14:textId="77777777" w:rsidR="00481CD8" w:rsidRPr="00B66790" w:rsidRDefault="00481CD8" w:rsidP="00481CD8">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0AB2B0BA" w14:textId="77777777" w:rsidR="00481CD8" w:rsidRPr="00D93953" w:rsidRDefault="00481CD8" w:rsidP="009A0C09">
            <w:pPr>
              <w:shd w:val="clear" w:color="auto" w:fill="FFFFFF"/>
              <w:spacing w:before="20" w:after="10" w:line="260" w:lineRule="exact"/>
              <w:ind w:left="79" w:right="57"/>
            </w:pPr>
            <w:r w:rsidRPr="00D93953">
              <w:t>decyzja o ustaleniu lokalizacji strate</w:t>
            </w:r>
            <w:r>
              <w:t>gi</w:t>
            </w:r>
            <w:r w:rsidRPr="00D93953">
              <w:t>cznej inwestycji w sektorze naftowym</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432739D" w14:textId="57263B78" w:rsidR="00481CD8" w:rsidRPr="009203EF" w:rsidRDefault="00CF1E8B" w:rsidP="00481CD8">
            <w:pPr>
              <w:shd w:val="clear" w:color="auto" w:fill="FFFFFF"/>
              <w:spacing w:before="30" w:line="270" w:lineRule="exact"/>
              <w:rPr>
                <w:rFonts w:ascii="Arial" w:hAnsi="Arial" w:cs="Arial"/>
                <w:b/>
                <w:sz w:val="21"/>
                <w:szCs w:val="21"/>
              </w:rPr>
            </w:pPr>
            <w:r w:rsidRPr="00CF1E8B">
              <w:rPr>
                <w:lang w:eastAsia="en-US"/>
              </w:rPr>
              <w:t>Nie dotycz</w:t>
            </w:r>
            <w:r w:rsidR="005A73B5">
              <w:rPr>
                <w:lang w:eastAsia="en-US"/>
              </w:rPr>
              <w:t>y</w:t>
            </w:r>
          </w:p>
        </w:tc>
      </w:tr>
      <w:tr w:rsidR="009A0C09" w:rsidRPr="00015907" w14:paraId="343A4063"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9"/>
        </w:trPr>
        <w:tc>
          <w:tcPr>
            <w:tcW w:w="2892" w:type="dxa"/>
            <w:tcBorders>
              <w:left w:val="single" w:sz="12" w:space="0" w:color="auto"/>
              <w:right w:val="single" w:sz="6" w:space="0" w:color="auto"/>
            </w:tcBorders>
            <w:shd w:val="clear" w:color="auto" w:fill="F2F2F2" w:themeFill="background1" w:themeFillShade="F2"/>
          </w:tcPr>
          <w:p w14:paraId="318817D2" w14:textId="77777777" w:rsidR="009A0C09" w:rsidRPr="00B66790" w:rsidRDefault="009A0C09" w:rsidP="009A0C09">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tcPr>
          <w:p w14:paraId="4D06A110" w14:textId="77777777" w:rsidR="009A0C09" w:rsidRPr="00D93953" w:rsidRDefault="009A0C09" w:rsidP="009A0C09">
            <w:pPr>
              <w:shd w:val="clear" w:color="auto" w:fill="FFFFFF"/>
              <w:spacing w:before="20" w:after="10" w:line="260" w:lineRule="exact"/>
              <w:ind w:left="79" w:right="57"/>
            </w:pPr>
            <w:r w:rsidRPr="009A0C09">
              <w:t>decyzja o ustaleniu lokalizacji strategicznej inwestycji w sektorze naftowym</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25DD17C" w14:textId="70C4452E" w:rsidR="009A0C09" w:rsidRPr="009203EF" w:rsidRDefault="00CF1E8B" w:rsidP="009A0C09">
            <w:pPr>
              <w:shd w:val="clear" w:color="auto" w:fill="FFFFFF"/>
              <w:spacing w:before="30" w:line="270" w:lineRule="exact"/>
              <w:rPr>
                <w:rFonts w:ascii="Arial" w:hAnsi="Arial" w:cs="Arial"/>
                <w:b/>
                <w:sz w:val="21"/>
                <w:szCs w:val="21"/>
              </w:rPr>
            </w:pPr>
            <w:r w:rsidRPr="00CF1E8B">
              <w:rPr>
                <w:lang w:eastAsia="en-US"/>
              </w:rPr>
              <w:t>Nie dotycz</w:t>
            </w:r>
            <w:r w:rsidR="005A73B5">
              <w:rPr>
                <w:lang w:eastAsia="en-US"/>
              </w:rPr>
              <w:t>y</w:t>
            </w:r>
          </w:p>
        </w:tc>
      </w:tr>
      <w:tr w:rsidR="009A0C09" w:rsidRPr="00015907" w14:paraId="53E87B3B"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0212"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39C4F49A" w14:textId="77777777" w:rsidR="009A0C09" w:rsidRPr="00333135" w:rsidRDefault="009A0C09" w:rsidP="009A0C09">
            <w:pPr>
              <w:spacing w:before="120" w:after="10" w:line="260" w:lineRule="exact"/>
              <w:ind w:left="57" w:right="-57"/>
              <w:rPr>
                <w:b/>
                <w:bCs/>
              </w:rPr>
            </w:pPr>
            <w:r w:rsidRPr="00333135">
              <w:rPr>
                <w:b/>
                <w:bCs/>
              </w:rPr>
              <w:t>INFORMACJE DOTYCZĄCE BUDYNKU</w:t>
            </w:r>
          </w:p>
        </w:tc>
      </w:tr>
      <w:tr w:rsidR="009A0C09" w:rsidRPr="00333135" w14:paraId="5E5DF8CD"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18CC649F" w14:textId="77777777" w:rsidR="009A0C09" w:rsidRPr="00333135" w:rsidRDefault="009A0C09" w:rsidP="009A0C09">
            <w:pPr>
              <w:spacing w:before="20" w:after="10" w:line="260" w:lineRule="exact"/>
              <w:ind w:left="57" w:right="-57"/>
            </w:pPr>
            <w:r w:rsidRPr="00D93953">
              <w:t>Czy jest pozwolenie na budowę</w:t>
            </w: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3CE799" w14:textId="77777777" w:rsidR="009A0C09" w:rsidRPr="00333135" w:rsidRDefault="009A0C09" w:rsidP="009A0C09">
            <w:pPr>
              <w:shd w:val="clear" w:color="auto" w:fill="FFFFFF"/>
              <w:spacing w:before="30" w:line="270" w:lineRule="exact"/>
              <w:jc w:val="center"/>
            </w:pPr>
            <w:r w:rsidRPr="00060043">
              <w:fldChar w:fldCharType="begin"/>
            </w:r>
            <w:r w:rsidRPr="00060043">
              <w:instrText xml:space="preserve"> MACROBUTTON  Przekreslenie tak</w:instrText>
            </w:r>
            <w:r w:rsidRPr="00060043">
              <w:fldChar w:fldCharType="end"/>
            </w:r>
            <w:r w:rsidRPr="00333135">
              <w:rPr>
                <w:rStyle w:val="Odwoanieprzypisudolnego"/>
                <w:vertAlign w:val="baseline"/>
              </w:rPr>
              <w:footnoteReference w:customMarkFollows="1" w:id="8"/>
              <w:t>*</w:t>
            </w:r>
            <w:r w:rsidRPr="00333135">
              <w:t xml:space="preserve"> </w:t>
            </w:r>
          </w:p>
        </w:tc>
        <w:tc>
          <w:tcPr>
            <w:tcW w:w="3500" w:type="dxa"/>
            <w:tcBorders>
              <w:top w:val="single" w:sz="6" w:space="0" w:color="auto"/>
              <w:left w:val="single" w:sz="6" w:space="0" w:color="auto"/>
              <w:bottom w:val="single" w:sz="6" w:space="0" w:color="auto"/>
              <w:right w:val="single" w:sz="12" w:space="0" w:color="auto"/>
            </w:tcBorders>
            <w:shd w:val="clear" w:color="auto" w:fill="FFFFFF"/>
            <w:vAlign w:val="center"/>
          </w:tcPr>
          <w:p w14:paraId="5F8DCF7E" w14:textId="7C31CB96" w:rsidR="009A0C09" w:rsidRPr="00333135" w:rsidRDefault="00393B89" w:rsidP="00393B89">
            <w:pPr>
              <w:shd w:val="clear" w:color="auto" w:fill="FFFFFF"/>
              <w:spacing w:before="30" w:line="360" w:lineRule="auto"/>
              <w:jc w:val="center"/>
            </w:pPr>
            <w:r w:rsidRPr="00393B89">
              <w:rPr>
                <w:dstrike/>
              </w:rPr>
              <w:fldChar w:fldCharType="begin"/>
            </w:r>
            <w:r w:rsidRPr="00393B89">
              <w:rPr>
                <w:dstrike/>
              </w:rPr>
              <w:instrText xml:space="preserve"> MACROBUTTON  Przekreslenie nie </w:instrText>
            </w:r>
            <w:r w:rsidRPr="00393B89">
              <w:rPr>
                <w:dstrike/>
              </w:rPr>
              <w:fldChar w:fldCharType="separate"/>
            </w:r>
            <w:r w:rsidRPr="00393B89">
              <w:rPr>
                <w:dstrike/>
              </w:rPr>
              <w:fldChar w:fldCharType="end"/>
            </w:r>
            <w:r w:rsidR="009A0C09" w:rsidRPr="00333135">
              <w:t>*</w:t>
            </w:r>
          </w:p>
        </w:tc>
      </w:tr>
      <w:tr w:rsidR="009A0C09" w:rsidRPr="00333135" w14:paraId="5597B20E"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561EBD1E" w14:textId="77777777" w:rsidR="009A0C09" w:rsidRPr="00333135" w:rsidRDefault="009A0C09" w:rsidP="009A0C09">
            <w:pPr>
              <w:spacing w:before="20" w:after="10" w:line="260" w:lineRule="exact"/>
              <w:ind w:left="57" w:right="-57"/>
            </w:pPr>
            <w:r w:rsidRPr="00D93953">
              <w:t>Czy pozwolenie na budowę jest ostateczne</w:t>
            </w: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4A1045" w14:textId="77777777" w:rsidR="009A0C09" w:rsidRPr="00333135" w:rsidRDefault="009A0C09" w:rsidP="009A0C09">
            <w:pPr>
              <w:shd w:val="clear" w:color="auto" w:fill="FFFFFF"/>
              <w:spacing w:before="30" w:line="270" w:lineRule="exact"/>
              <w:jc w:val="center"/>
            </w:pPr>
            <w:r w:rsidRPr="00333135">
              <w:fldChar w:fldCharType="begin"/>
            </w:r>
            <w:r w:rsidRPr="00333135">
              <w:instrText xml:space="preserve"> MACROBUTTON  Przekreslenie tak</w:instrText>
            </w:r>
            <w:r w:rsidRPr="00333135">
              <w:fldChar w:fldCharType="end"/>
            </w:r>
            <w:r w:rsidRPr="00333135">
              <w:t>*</w:t>
            </w:r>
          </w:p>
        </w:tc>
        <w:tc>
          <w:tcPr>
            <w:tcW w:w="3500" w:type="dxa"/>
            <w:tcBorders>
              <w:top w:val="single" w:sz="6" w:space="0" w:color="auto"/>
              <w:left w:val="single" w:sz="6" w:space="0" w:color="auto"/>
              <w:bottom w:val="single" w:sz="6" w:space="0" w:color="auto"/>
              <w:right w:val="single" w:sz="12" w:space="0" w:color="auto"/>
            </w:tcBorders>
            <w:shd w:val="clear" w:color="auto" w:fill="FFFFFF"/>
            <w:vAlign w:val="center"/>
          </w:tcPr>
          <w:p w14:paraId="585F283E" w14:textId="77777777" w:rsidR="009A0C09" w:rsidRPr="00333135" w:rsidRDefault="009A0C09" w:rsidP="009A0C09">
            <w:pPr>
              <w:shd w:val="clear" w:color="auto" w:fill="FFFFFF"/>
              <w:spacing w:before="30" w:line="270" w:lineRule="exact"/>
              <w:jc w:val="center"/>
            </w:pPr>
            <w:r w:rsidRPr="00393B89">
              <w:rPr>
                <w:dstrike/>
              </w:rPr>
              <w:fldChar w:fldCharType="begin"/>
            </w:r>
            <w:r w:rsidRPr="00393B89">
              <w:rPr>
                <w:dstrike/>
              </w:rPr>
              <w:instrText xml:space="preserve"> MACROBUTTON  Przekreslenie nie</w:instrText>
            </w:r>
            <w:r w:rsidRPr="00393B89">
              <w:rPr>
                <w:dstrike/>
              </w:rPr>
              <w:fldChar w:fldCharType="end"/>
            </w:r>
            <w:r w:rsidRPr="00333135">
              <w:t>*</w:t>
            </w:r>
          </w:p>
        </w:tc>
      </w:tr>
      <w:tr w:rsidR="009A0C09" w:rsidRPr="00333135" w14:paraId="716161AA"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796B3A1" w14:textId="77777777" w:rsidR="009A0C09" w:rsidRPr="00333135" w:rsidRDefault="009A0C09" w:rsidP="009A0C09">
            <w:pPr>
              <w:spacing w:before="20" w:after="10" w:line="260" w:lineRule="exact"/>
              <w:ind w:left="57" w:right="-57"/>
            </w:pPr>
            <w:r w:rsidRPr="00D93953">
              <w:t>Czy pozwolenie na budowę jest zaskarżone</w:t>
            </w:r>
          </w:p>
        </w:tc>
        <w:tc>
          <w:tcPr>
            <w:tcW w:w="38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B75FA96" w14:textId="77777777" w:rsidR="009A0C09" w:rsidRPr="00333135" w:rsidRDefault="009A0C09" w:rsidP="009A0C09">
            <w:pPr>
              <w:shd w:val="clear" w:color="auto" w:fill="FFFFFF"/>
              <w:spacing w:before="30" w:line="270" w:lineRule="exact"/>
              <w:jc w:val="center"/>
            </w:pPr>
            <w:r w:rsidRPr="00393B89">
              <w:rPr>
                <w:dstrike/>
              </w:rPr>
              <w:fldChar w:fldCharType="begin"/>
            </w:r>
            <w:r w:rsidRPr="00393B89">
              <w:rPr>
                <w:dstrike/>
              </w:rPr>
              <w:instrText xml:space="preserve"> MACROBUTTON  Przekreslenie tak</w:instrText>
            </w:r>
            <w:r w:rsidRPr="00393B89">
              <w:rPr>
                <w:dstrike/>
              </w:rPr>
              <w:fldChar w:fldCharType="end"/>
            </w:r>
            <w:r w:rsidRPr="00333135">
              <w:t>*</w:t>
            </w:r>
          </w:p>
        </w:tc>
        <w:tc>
          <w:tcPr>
            <w:tcW w:w="3500" w:type="dxa"/>
            <w:tcBorders>
              <w:top w:val="single" w:sz="6" w:space="0" w:color="auto"/>
              <w:left w:val="single" w:sz="6" w:space="0" w:color="auto"/>
              <w:bottom w:val="single" w:sz="6" w:space="0" w:color="auto"/>
              <w:right w:val="single" w:sz="12" w:space="0" w:color="auto"/>
            </w:tcBorders>
            <w:shd w:val="clear" w:color="auto" w:fill="FFFFFF"/>
            <w:vAlign w:val="center"/>
          </w:tcPr>
          <w:p w14:paraId="681B10D3" w14:textId="77777777" w:rsidR="009A0C09" w:rsidRPr="00333135" w:rsidRDefault="009A0C09" w:rsidP="009A0C09">
            <w:pPr>
              <w:shd w:val="clear" w:color="auto" w:fill="FFFFFF"/>
              <w:spacing w:before="30" w:line="270" w:lineRule="exact"/>
              <w:jc w:val="center"/>
            </w:pPr>
            <w:r w:rsidRPr="00393B89">
              <w:fldChar w:fldCharType="begin"/>
            </w:r>
            <w:r w:rsidRPr="00393B89">
              <w:instrText xml:space="preserve"> MACROBUTTON  Przekreslenie nie</w:instrText>
            </w:r>
            <w:r w:rsidRPr="00393B89">
              <w:fldChar w:fldCharType="end"/>
            </w:r>
            <w:r w:rsidRPr="00333135">
              <w:t>*</w:t>
            </w:r>
          </w:p>
        </w:tc>
      </w:tr>
      <w:tr w:rsidR="009A0C09" w:rsidRPr="00015907" w14:paraId="09BF19F0"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FECAFFE" w14:textId="77777777" w:rsidR="009A0C09" w:rsidRPr="00333135" w:rsidRDefault="009A0C09" w:rsidP="009A0C09">
            <w:pPr>
              <w:spacing w:before="20" w:after="10" w:line="260" w:lineRule="exact"/>
              <w:ind w:left="57" w:right="-57"/>
            </w:pPr>
            <w:r w:rsidRPr="00D93953">
              <w:t>Numer pozwolenia na budowę</w:t>
            </w:r>
            <w:r>
              <w:br/>
            </w:r>
            <w:r w:rsidRPr="00D93953">
              <w:t>oraz nazwa organu, który je wydał</w:t>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76287937" w14:textId="392E954F" w:rsidR="009A0C09" w:rsidRPr="009203EF" w:rsidRDefault="00393B89" w:rsidP="009A0C09">
            <w:pPr>
              <w:shd w:val="clear" w:color="auto" w:fill="FFFFFF"/>
              <w:spacing w:before="30" w:line="270" w:lineRule="exact"/>
              <w:rPr>
                <w:rFonts w:ascii="Arial" w:hAnsi="Arial" w:cs="Arial"/>
                <w:b/>
                <w:sz w:val="21"/>
                <w:szCs w:val="21"/>
              </w:rPr>
            </w:pPr>
            <w:r w:rsidRPr="00393B89">
              <w:rPr>
                <w:lang w:eastAsia="en-US"/>
              </w:rPr>
              <w:t>Decyzja nr 379/2024 wydana przez Starostę Ostrowskiego w dniu 18 października 2024 r.</w:t>
            </w:r>
          </w:p>
        </w:tc>
      </w:tr>
      <w:tr w:rsidR="009A0C09" w:rsidRPr="00015907" w14:paraId="4FBA32F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0352AF7C" w14:textId="77777777" w:rsidR="009A0C09" w:rsidRPr="00333135" w:rsidRDefault="009A0C09" w:rsidP="009A0C09">
            <w:pPr>
              <w:spacing w:before="20" w:after="10" w:line="260" w:lineRule="exact"/>
              <w:ind w:left="57" w:right="-57"/>
            </w:pPr>
            <w:r w:rsidRPr="00D93953">
              <w:t>Data uprawomocnienia się decyzji</w:t>
            </w:r>
            <w:r>
              <w:br/>
            </w:r>
            <w:r w:rsidRPr="00D93953">
              <w:t>o pozwoleniu na użytkowanie budynku</w:t>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1622CA5E" w14:textId="5F3689D3" w:rsidR="009A0C09" w:rsidRPr="009203EF" w:rsidRDefault="00E473BC" w:rsidP="009A0C09">
            <w:pPr>
              <w:shd w:val="clear" w:color="auto" w:fill="FFFFFF"/>
              <w:spacing w:before="30" w:line="270" w:lineRule="exact"/>
              <w:rPr>
                <w:rFonts w:ascii="Arial" w:hAnsi="Arial" w:cs="Arial"/>
                <w:b/>
                <w:sz w:val="21"/>
                <w:szCs w:val="21"/>
              </w:rPr>
            </w:pPr>
            <w:r>
              <w:rPr>
                <w:lang w:eastAsia="en-US"/>
              </w:rPr>
              <w:t>Nie dotyczy</w:t>
            </w:r>
          </w:p>
        </w:tc>
      </w:tr>
      <w:tr w:rsidR="009A0C09" w:rsidRPr="00015907" w14:paraId="4D6CC608"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3"/>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5423520" w14:textId="4B65D27E" w:rsidR="009A0C09" w:rsidRPr="00333135" w:rsidRDefault="007E693B" w:rsidP="009A0C09">
            <w:pPr>
              <w:spacing w:before="20" w:after="10" w:line="260" w:lineRule="exact"/>
              <w:ind w:left="57" w:right="-57"/>
            </w:pPr>
            <w:r w:rsidRPr="007E693B">
              <w:t>Numer zgłoszenia budowy,</w:t>
            </w:r>
            <w:r>
              <w:br/>
            </w:r>
            <w:r w:rsidRPr="007E693B">
              <w:t xml:space="preserve">o której mowa w art. 29 ust. 1 pkt 1 ustawy z dnia 7 lipca 1994 r. – </w:t>
            </w:r>
            <w:r>
              <w:br/>
            </w:r>
            <w:r w:rsidRPr="007E693B">
              <w:t>Prawo budowlane (Dz. U. z 2023 r. poz. 682, z późn. zm.), oraz oznaczenie organu, do którego dokonano zgłoszenia, wraz</w:t>
            </w:r>
            <w:r>
              <w:br/>
            </w:r>
            <w:r w:rsidRPr="007E693B">
              <w:t>z informacją o braku wniesienia sprzeciwu przez ten organ</w:t>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47FCEF15" w14:textId="2544F272" w:rsidR="009A0C09" w:rsidRPr="009203EF" w:rsidRDefault="00393B89" w:rsidP="009A0C09">
            <w:pPr>
              <w:shd w:val="clear" w:color="auto" w:fill="FFFFFF"/>
              <w:spacing w:before="30" w:line="270" w:lineRule="exact"/>
              <w:rPr>
                <w:rFonts w:ascii="Arial" w:hAnsi="Arial" w:cs="Arial"/>
                <w:b/>
                <w:sz w:val="21"/>
                <w:szCs w:val="21"/>
              </w:rPr>
            </w:pPr>
            <w:r w:rsidRPr="00CF1E8B">
              <w:rPr>
                <w:lang w:eastAsia="en-US"/>
              </w:rPr>
              <w:t>Nie dotycz</w:t>
            </w:r>
            <w:r>
              <w:rPr>
                <w:lang w:eastAsia="en-US"/>
              </w:rPr>
              <w:t>y</w:t>
            </w:r>
          </w:p>
        </w:tc>
      </w:tr>
      <w:tr w:rsidR="009A0C09" w:rsidRPr="00015907" w14:paraId="53271649"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0F5ECBB" w14:textId="77777777" w:rsidR="009A0C09" w:rsidRPr="00333135" w:rsidRDefault="009A0C09" w:rsidP="009A0C09">
            <w:pPr>
              <w:spacing w:before="20" w:after="10" w:line="260" w:lineRule="exact"/>
              <w:ind w:left="57" w:right="-57"/>
            </w:pPr>
            <w:r w:rsidRPr="001B0B9B">
              <w:t>Data zakończenia budowy domu jednorodzinnego</w:t>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5587BB3E" w14:textId="136354B8" w:rsidR="009A0C09" w:rsidRPr="009203EF" w:rsidRDefault="00C654AB" w:rsidP="009A0C09">
            <w:pPr>
              <w:shd w:val="clear" w:color="auto" w:fill="FFFFFF"/>
              <w:spacing w:before="30" w:line="270" w:lineRule="exact"/>
              <w:rPr>
                <w:rFonts w:ascii="Arial" w:hAnsi="Arial" w:cs="Arial"/>
                <w:b/>
                <w:sz w:val="21"/>
                <w:szCs w:val="21"/>
              </w:rPr>
            </w:pPr>
            <w:r>
              <w:rPr>
                <w:lang w:eastAsia="en-US"/>
              </w:rPr>
              <w:t>30.</w:t>
            </w:r>
            <w:r w:rsidR="00393B89" w:rsidRPr="00393B89">
              <w:rPr>
                <w:lang w:eastAsia="en-US"/>
              </w:rPr>
              <w:t>0</w:t>
            </w:r>
            <w:r w:rsidR="00AD47F9">
              <w:rPr>
                <w:lang w:eastAsia="en-US"/>
              </w:rPr>
              <w:t>6.</w:t>
            </w:r>
            <w:r w:rsidR="00393B89" w:rsidRPr="00393B89">
              <w:rPr>
                <w:lang w:eastAsia="en-US"/>
              </w:rPr>
              <w:t>.2026 r</w:t>
            </w:r>
          </w:p>
        </w:tc>
      </w:tr>
      <w:tr w:rsidR="009A0C09" w:rsidRPr="00015907" w14:paraId="4F587C53"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1D8EC36A" w14:textId="77777777" w:rsidR="009A0C09" w:rsidRPr="00333135" w:rsidRDefault="009A0C09" w:rsidP="009A0C09">
            <w:pPr>
              <w:spacing w:before="20" w:after="10" w:line="260" w:lineRule="exact"/>
              <w:ind w:left="57" w:right="-57"/>
            </w:pPr>
            <w:r w:rsidRPr="001B0B9B">
              <w:t>Planowany termin rozpoczęcia</w:t>
            </w:r>
            <w:r>
              <w:br/>
            </w:r>
            <w:r w:rsidRPr="001B0B9B">
              <w:t>i zakończenia robót budowlanych</w:t>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08EB8BA2" w14:textId="176CFEF4" w:rsidR="009A0C09" w:rsidRPr="009203EF" w:rsidRDefault="00AD47F9" w:rsidP="009A0C09">
            <w:pPr>
              <w:shd w:val="clear" w:color="auto" w:fill="FFFFFF"/>
              <w:spacing w:before="30" w:line="270" w:lineRule="exact"/>
              <w:rPr>
                <w:rFonts w:ascii="Arial" w:hAnsi="Arial" w:cs="Arial"/>
                <w:b/>
                <w:sz w:val="21"/>
                <w:szCs w:val="21"/>
              </w:rPr>
            </w:pPr>
            <w:r>
              <w:rPr>
                <w:lang w:eastAsia="en-US"/>
              </w:rPr>
              <w:t xml:space="preserve"> Rozpoczęto 31.10.2024r Zakończenie </w:t>
            </w:r>
            <w:r w:rsidR="00C654AB">
              <w:rPr>
                <w:lang w:eastAsia="en-US"/>
              </w:rPr>
              <w:t>30.</w:t>
            </w:r>
            <w:r w:rsidR="005C088E" w:rsidRPr="005C088E">
              <w:rPr>
                <w:lang w:eastAsia="en-US"/>
              </w:rPr>
              <w:t>0</w:t>
            </w:r>
            <w:r>
              <w:rPr>
                <w:lang w:eastAsia="en-US"/>
              </w:rPr>
              <w:t>6.</w:t>
            </w:r>
            <w:r w:rsidR="005C088E" w:rsidRPr="005C088E">
              <w:rPr>
                <w:lang w:eastAsia="en-US"/>
              </w:rPr>
              <w:t>.2026 r</w:t>
            </w:r>
          </w:p>
        </w:tc>
      </w:tr>
      <w:tr w:rsidR="009A0C09" w:rsidRPr="00015907" w14:paraId="3E01CF09"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2892" w:type="dxa"/>
            <w:vMerge w:val="restart"/>
            <w:tcBorders>
              <w:top w:val="single" w:sz="6" w:space="0" w:color="auto"/>
              <w:left w:val="single" w:sz="12" w:space="0" w:color="auto"/>
              <w:right w:val="single" w:sz="6" w:space="0" w:color="auto"/>
            </w:tcBorders>
            <w:shd w:val="clear" w:color="auto" w:fill="F2F2F2" w:themeFill="background1" w:themeFillShade="F2"/>
          </w:tcPr>
          <w:p w14:paraId="10A65805" w14:textId="77777777" w:rsidR="009A0C09" w:rsidRPr="00333135" w:rsidRDefault="009A0C09" w:rsidP="009A0C09">
            <w:pPr>
              <w:spacing w:before="20" w:after="10" w:line="260" w:lineRule="exact"/>
              <w:ind w:left="57" w:right="-57"/>
            </w:pPr>
            <w:r w:rsidRPr="001B0B9B">
              <w:t>Opis przedsięwzięcia</w:t>
            </w:r>
            <w:r>
              <w:br/>
            </w:r>
            <w:r w:rsidRPr="001B0B9B">
              <w:t>deweloperskiego lub zadania</w:t>
            </w:r>
            <w:r>
              <w:br/>
            </w:r>
            <w:r w:rsidRPr="001B0B9B">
              <w:t>inwestycyjnego</w:t>
            </w:r>
          </w:p>
        </w:tc>
        <w:tc>
          <w:tcPr>
            <w:tcW w:w="3820" w:type="dxa"/>
            <w:gridSpan w:val="2"/>
            <w:tcBorders>
              <w:top w:val="single" w:sz="6" w:space="0" w:color="auto"/>
              <w:left w:val="single" w:sz="6" w:space="0" w:color="auto"/>
              <w:bottom w:val="single" w:sz="6" w:space="0" w:color="auto"/>
              <w:right w:val="single" w:sz="4" w:space="0" w:color="auto"/>
            </w:tcBorders>
            <w:shd w:val="clear" w:color="auto" w:fill="FFFFFF"/>
          </w:tcPr>
          <w:p w14:paraId="588B5F74" w14:textId="77777777" w:rsidR="009A0C09" w:rsidRPr="00333135" w:rsidRDefault="009A0C09" w:rsidP="009A0C09">
            <w:pPr>
              <w:spacing w:before="20" w:after="10" w:line="260" w:lineRule="exact"/>
              <w:ind w:left="57" w:right="-57"/>
            </w:pPr>
            <w:r w:rsidRPr="001B0B9B">
              <w:t>Liczba budynków</w:t>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75D9C259" w14:textId="29D4D75B" w:rsidR="009A0C09" w:rsidRPr="005C088E" w:rsidRDefault="005C088E" w:rsidP="009A0C09">
            <w:pPr>
              <w:shd w:val="clear" w:color="auto" w:fill="FFFFFF"/>
              <w:spacing w:before="30" w:line="270" w:lineRule="exact"/>
              <w:rPr>
                <w:b/>
                <w:sz w:val="21"/>
                <w:szCs w:val="21"/>
              </w:rPr>
            </w:pPr>
            <w:r>
              <w:rPr>
                <w:b/>
                <w:sz w:val="21"/>
                <w:szCs w:val="21"/>
              </w:rPr>
              <w:t>2</w:t>
            </w:r>
          </w:p>
        </w:tc>
      </w:tr>
      <w:tr w:rsidR="009A0C09" w:rsidRPr="00015907" w14:paraId="27122A5F"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2892" w:type="dxa"/>
            <w:vMerge/>
            <w:tcBorders>
              <w:left w:val="single" w:sz="12" w:space="0" w:color="auto"/>
              <w:right w:val="single" w:sz="6" w:space="0" w:color="auto"/>
            </w:tcBorders>
            <w:shd w:val="clear" w:color="auto" w:fill="F2F2F2" w:themeFill="background1" w:themeFillShade="F2"/>
          </w:tcPr>
          <w:p w14:paraId="66706C1A" w14:textId="77777777" w:rsidR="009A0C09" w:rsidRPr="00333135" w:rsidRDefault="009A0C09" w:rsidP="009A0C09">
            <w:pPr>
              <w:spacing w:before="20" w:after="10" w:line="260" w:lineRule="exact"/>
              <w:ind w:left="57" w:right="-57"/>
            </w:pPr>
          </w:p>
        </w:tc>
        <w:tc>
          <w:tcPr>
            <w:tcW w:w="3820" w:type="dxa"/>
            <w:gridSpan w:val="2"/>
            <w:tcBorders>
              <w:top w:val="single" w:sz="6" w:space="0" w:color="auto"/>
              <w:left w:val="single" w:sz="6" w:space="0" w:color="auto"/>
              <w:bottom w:val="single" w:sz="6" w:space="0" w:color="auto"/>
              <w:right w:val="single" w:sz="4" w:space="0" w:color="auto"/>
            </w:tcBorders>
            <w:shd w:val="clear" w:color="auto" w:fill="FFFFFF"/>
          </w:tcPr>
          <w:p w14:paraId="01F00780" w14:textId="77777777" w:rsidR="009A0C09" w:rsidRPr="00333135" w:rsidRDefault="009A0C09" w:rsidP="009A0C09">
            <w:pPr>
              <w:spacing w:before="20" w:after="10" w:line="260" w:lineRule="exact"/>
              <w:ind w:left="57" w:right="-57"/>
            </w:pPr>
            <w:r w:rsidRPr="001B0B9B">
              <w:t xml:space="preserve">Rozmieszczenie budynków </w:t>
            </w:r>
            <w:r>
              <w:br/>
            </w:r>
            <w:r w:rsidRPr="001B0B9B">
              <w:t>na nieruchomości (należy podać</w:t>
            </w:r>
            <w:r>
              <w:br/>
            </w:r>
            <w:r w:rsidRPr="001B0B9B">
              <w:t>minimalny odstęp między budynkami)</w:t>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705C7C1C" w14:textId="32FCEFFF" w:rsidR="009A0C09" w:rsidRPr="009203EF" w:rsidRDefault="005C088E" w:rsidP="009A0C09">
            <w:pPr>
              <w:shd w:val="clear" w:color="auto" w:fill="FFFFFF"/>
              <w:spacing w:before="30" w:line="270" w:lineRule="exact"/>
              <w:rPr>
                <w:rFonts w:ascii="Arial" w:hAnsi="Arial" w:cs="Arial"/>
                <w:b/>
                <w:sz w:val="21"/>
                <w:szCs w:val="21"/>
              </w:rPr>
            </w:pPr>
            <w:r w:rsidRPr="005C088E">
              <w:rPr>
                <w:lang w:eastAsia="en-US"/>
              </w:rPr>
              <w:t>Dwa budynki jednorodzinne dwulokalowe położone względem siebie w odległości 8 metrów</w:t>
            </w:r>
          </w:p>
        </w:tc>
      </w:tr>
      <w:tr w:rsidR="005C088E" w:rsidRPr="00015907" w14:paraId="7F8333CF"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1"/>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7EF05427" w14:textId="77777777" w:rsidR="005C088E" w:rsidRPr="00333135" w:rsidRDefault="005C088E" w:rsidP="005C088E">
            <w:pPr>
              <w:spacing w:before="20" w:after="10" w:line="260" w:lineRule="exact"/>
              <w:ind w:left="57" w:right="-57"/>
            </w:pPr>
            <w:r w:rsidRPr="001B0B9B">
              <w:t>Sposób pomiaru powierzchni użytkowej lokalu mieszkalnego</w:t>
            </w:r>
            <w:r>
              <w:br/>
            </w:r>
            <w:r w:rsidRPr="001B0B9B">
              <w:t>albo domu jednorodzinnego</w:t>
            </w:r>
          </w:p>
        </w:tc>
        <w:tc>
          <w:tcPr>
            <w:tcW w:w="7320" w:type="dxa"/>
            <w:gridSpan w:val="3"/>
          </w:tcPr>
          <w:p w14:paraId="1A788F5E" w14:textId="77777777" w:rsidR="005C088E" w:rsidRPr="009B1E64" w:rsidRDefault="005C088E" w:rsidP="005C088E">
            <w:pPr>
              <w:spacing w:beforeLines="60" w:before="144" w:afterLines="60" w:after="144"/>
              <w:jc w:val="both"/>
            </w:pPr>
            <w:r>
              <w:t xml:space="preserve">1) </w:t>
            </w:r>
            <w:r w:rsidRPr="009B1E64">
              <w:t>Powierzchnia Rozliczeniowa Lokalu (zdefiniowana w pkt 2 poniżej) stanowi podstawę do wyliczenia Ceny Lokalu; zmiana składowych tej powierzchni tj. zwiększenie/zmniejszenie Powierzchni Użytkowej Lokalu (zdefiniowanej w pkt 3 poniżej) lub zmiana, tj. zwiększenie/zmniejszanie Powierzchni Pod Ścianami Działowymi (o której mowa w pkt 5) poniżej), nie ma wpływu na Cenę za metr kwadratowy Lokalu</w:t>
            </w:r>
            <w:r>
              <w:t>.</w:t>
            </w:r>
          </w:p>
          <w:p w14:paraId="1E20CFF5" w14:textId="77777777" w:rsidR="005C088E" w:rsidRPr="009B1E64" w:rsidRDefault="005C088E" w:rsidP="005C088E">
            <w:pPr>
              <w:spacing w:beforeLines="60" w:before="144" w:afterLines="60" w:after="144"/>
              <w:jc w:val="both"/>
            </w:pPr>
            <w:r>
              <w:t>2)</w:t>
            </w:r>
            <w:r w:rsidRPr="009B1E64">
              <w:t xml:space="preserve">„Powierzchnia Rozliczeniowa Lokalu” obliczana jest jako suma Powierzchni Użytkowej Lokalu oraz Powierzchni pod Ścianami Działowymi, o których mowa poniżej i oznaczona została jako Powierzchnia sprzedaży na rzucie stanowiącym załącznik numer 1 do </w:t>
            </w:r>
            <w:r>
              <w:t>Umowy Deweloperskiej.</w:t>
            </w:r>
          </w:p>
          <w:p w14:paraId="6BD6B66E" w14:textId="77777777" w:rsidR="005C088E" w:rsidRPr="009B1E64" w:rsidRDefault="005C088E" w:rsidP="005C088E">
            <w:pPr>
              <w:spacing w:beforeLines="60" w:before="144" w:afterLines="60" w:after="144"/>
              <w:jc w:val="both"/>
            </w:pPr>
            <w:r>
              <w:lastRenderedPageBreak/>
              <w:t xml:space="preserve">3) </w:t>
            </w:r>
            <w:r w:rsidRPr="009B1E64">
              <w:t>pomiaru „Powierzchni Użytkowej Lokalu” dokonuje się w oparciu o Normę PN- ISO 9836:2015, przy czym do Powierzchni Użytkowej Lokalu nie są wliczane ściany działowe możliwe do demontażu, zaznaczone na planie lokalu; Pomiaru dokonuje się na poziomie podłogi, z dokładnością do 0,01 m</w:t>
            </w:r>
            <w:r>
              <w:t>², w świetle wyprawionych ścian.</w:t>
            </w:r>
          </w:p>
          <w:p w14:paraId="27217E4B" w14:textId="77777777" w:rsidR="005C088E" w:rsidRPr="009B1E64" w:rsidRDefault="005C088E" w:rsidP="005C088E">
            <w:pPr>
              <w:spacing w:beforeLines="60" w:before="144" w:afterLines="60" w:after="144"/>
              <w:jc w:val="both"/>
            </w:pPr>
            <w:r>
              <w:t xml:space="preserve">4) </w:t>
            </w:r>
            <w:r w:rsidRPr="009B1E64">
              <w:t>w przypadku, gdy Lokal będzie miał zmienną wysokość, przy określaniu Powierzchni Użytkowej Lokalu powierzchnię części Lokali o wysokości w świetle równej lub większej od 2,20 m zalicza się do obliczeń w 100%, o wysokości równej lub większej od 1,40 m, lecz mniejszej od 2,20 m - w 50%, natomiast o wysokości mniejszej o</w:t>
            </w:r>
            <w:r>
              <w:t>d 1,40 m pomija się całkowicie.</w:t>
            </w:r>
          </w:p>
          <w:p w14:paraId="4AF6BF1D" w14:textId="77777777" w:rsidR="005C088E" w:rsidRPr="009B1E64" w:rsidRDefault="005C088E" w:rsidP="005C088E">
            <w:pPr>
              <w:spacing w:beforeLines="60" w:before="144" w:afterLines="60" w:after="144"/>
              <w:jc w:val="both"/>
            </w:pPr>
            <w:r>
              <w:t xml:space="preserve">5) </w:t>
            </w:r>
            <w:r w:rsidRPr="009B1E64">
              <w:t>„Powierzchnia pod Ścianami Działowymi” obliczana jest jako powierzchnia przekroju poziomego wewnętrznych przegród budowlanych – ścian działowych możliwych do demontażu zaznaczonych na planie lokalu, przy czym pomiaru dokonuje się na poziomie podłogi, z dokładnością do 0,01 m</w:t>
            </w:r>
            <w:r>
              <w:t>², w świetle wyprawionych ścian.</w:t>
            </w:r>
          </w:p>
          <w:p w14:paraId="770E9A64" w14:textId="77777777" w:rsidR="005C088E" w:rsidRDefault="005C088E" w:rsidP="005C088E">
            <w:pPr>
              <w:spacing w:beforeLines="60" w:before="144" w:afterLines="60" w:after="144"/>
              <w:jc w:val="both"/>
            </w:pPr>
            <w:r>
              <w:t>6) p</w:t>
            </w:r>
            <w:r w:rsidRPr="009B1E64">
              <w:t>omiaru Powierzchni Rozliczeniowej Lokalu dokonuje się po jego wybudowaniu jako obmiar powykonawczy, wykonywany przez osobę posiadającą wymagane prawem uprawniania do dokonywania pomiarów powykonawczyc</w:t>
            </w:r>
            <w:r>
              <w:t>h.</w:t>
            </w:r>
          </w:p>
          <w:p w14:paraId="64D94D9C" w14:textId="0645ECE3" w:rsidR="005C088E" w:rsidRPr="009203EF" w:rsidRDefault="005C088E" w:rsidP="005C088E">
            <w:pPr>
              <w:shd w:val="clear" w:color="auto" w:fill="FFFFFF"/>
              <w:spacing w:before="30" w:line="270" w:lineRule="exact"/>
              <w:rPr>
                <w:rFonts w:ascii="Arial" w:hAnsi="Arial" w:cs="Arial"/>
                <w:b/>
                <w:sz w:val="21"/>
                <w:szCs w:val="21"/>
              </w:rPr>
            </w:pPr>
            <w:r w:rsidRPr="009B1E64">
              <w:t>7</w:t>
            </w:r>
            <w:r>
              <w:t xml:space="preserve">) </w:t>
            </w:r>
            <w:r w:rsidRPr="009B1E64">
              <w:t xml:space="preserve">w kartotece lokali oraz w księdze wieczystej, która będzie założona dla Lokalu ujawniona zostanie Powierzchnia Użytkowa Lokalu wraz z powierzchnią użytkową pomieszczeń przynależnych do Lokalu (jeżeli takie będzie); Suma Powierzchni Użytkowych wszystkich lokali wraz z powierzchnią użytkową pomieszczeń przynależnych do lokali (jeżeli takie wystąpią) stanowić będzie podstawę do wyliczenia udziału w nieruchomości wspólnej. </w:t>
            </w:r>
          </w:p>
        </w:tc>
      </w:tr>
      <w:tr w:rsidR="005C088E" w:rsidRPr="00015907" w14:paraId="751B42E7"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rPr>
        <w:tc>
          <w:tcPr>
            <w:tcW w:w="2892" w:type="dxa"/>
            <w:vMerge w:val="restart"/>
            <w:tcBorders>
              <w:top w:val="single" w:sz="6" w:space="0" w:color="auto"/>
              <w:left w:val="single" w:sz="12" w:space="0" w:color="auto"/>
              <w:right w:val="single" w:sz="6" w:space="0" w:color="auto"/>
            </w:tcBorders>
            <w:shd w:val="clear" w:color="auto" w:fill="F2F2F2" w:themeFill="background1" w:themeFillShade="F2"/>
          </w:tcPr>
          <w:p w14:paraId="676779BE" w14:textId="77777777" w:rsidR="005C088E" w:rsidRPr="00333135" w:rsidRDefault="005C088E" w:rsidP="005C088E">
            <w:pPr>
              <w:spacing w:before="20" w:after="10" w:line="260" w:lineRule="exact"/>
              <w:ind w:left="57" w:right="-57"/>
            </w:pPr>
            <w:r w:rsidRPr="001B0B9B">
              <w:lastRenderedPageBreak/>
              <w:t>Zamierzony sposób i procentowy udział źródeł finansowania przedsięwzięcia deweloperskiego</w:t>
            </w:r>
            <w:r>
              <w:br/>
            </w:r>
            <w:r w:rsidRPr="001B0B9B">
              <w:t>lub zadania inwestycyjnego</w:t>
            </w:r>
          </w:p>
        </w:tc>
        <w:tc>
          <w:tcPr>
            <w:tcW w:w="3820" w:type="dxa"/>
            <w:gridSpan w:val="2"/>
            <w:tcBorders>
              <w:top w:val="single" w:sz="6" w:space="0" w:color="auto"/>
              <w:left w:val="single" w:sz="6" w:space="0" w:color="auto"/>
              <w:bottom w:val="single" w:sz="6" w:space="0" w:color="auto"/>
              <w:right w:val="single" w:sz="4" w:space="0" w:color="auto"/>
            </w:tcBorders>
            <w:shd w:val="clear" w:color="auto" w:fill="FFFFFF"/>
          </w:tcPr>
          <w:p w14:paraId="07B65D72" w14:textId="77777777" w:rsidR="005C088E" w:rsidRPr="00333135" w:rsidRDefault="005C088E" w:rsidP="005C088E">
            <w:pPr>
              <w:spacing w:before="20" w:after="10" w:line="260" w:lineRule="exact"/>
              <w:ind w:left="57" w:right="-57"/>
            </w:pPr>
            <w:r w:rsidRPr="001B0B9B">
              <w:t>Rodzaj posiadanych środków finansowych – kredyt, środki własne, inne</w:t>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7A2B95B5" w14:textId="2532800C" w:rsidR="005C088E" w:rsidRPr="009203EF" w:rsidRDefault="005C088E" w:rsidP="005C088E">
            <w:pPr>
              <w:shd w:val="clear" w:color="auto" w:fill="FFFFFF"/>
              <w:spacing w:before="30" w:line="270" w:lineRule="exact"/>
              <w:rPr>
                <w:rFonts w:ascii="Arial" w:hAnsi="Arial" w:cs="Arial"/>
                <w:b/>
                <w:sz w:val="21"/>
                <w:szCs w:val="21"/>
              </w:rPr>
            </w:pPr>
            <w:r w:rsidRPr="005C088E">
              <w:rPr>
                <w:lang w:eastAsia="en-US"/>
              </w:rPr>
              <w:t xml:space="preserve"> </w:t>
            </w:r>
            <w:r w:rsidR="00790CB8">
              <w:rPr>
                <w:lang w:eastAsia="en-US"/>
              </w:rPr>
              <w:t>Ś</w:t>
            </w:r>
            <w:r w:rsidRPr="005C088E">
              <w:rPr>
                <w:lang w:eastAsia="en-US"/>
              </w:rPr>
              <w:t xml:space="preserve">rodki własne </w:t>
            </w:r>
            <w:r w:rsidR="00790CB8" w:rsidRPr="005C088E">
              <w:rPr>
                <w:lang w:eastAsia="en-US"/>
              </w:rPr>
              <w:t>dewelopera</w:t>
            </w:r>
            <w:r w:rsidR="00790CB8" w:rsidRPr="00790CB8">
              <w:rPr>
                <w:rFonts w:ascii="Georgia" w:hAnsi="Georgia"/>
              </w:rPr>
              <w:t xml:space="preserve"> </w:t>
            </w:r>
            <w:r w:rsidR="00790CB8">
              <w:rPr>
                <w:rFonts w:ascii="Georgia" w:hAnsi="Georgia"/>
              </w:rPr>
              <w:t xml:space="preserve">i </w:t>
            </w:r>
            <w:r w:rsidR="00790CB8" w:rsidRPr="00790CB8">
              <w:rPr>
                <w:rFonts w:ascii="Georgia" w:hAnsi="Georgia"/>
              </w:rPr>
              <w:t>wpłat nabywców lokali usytuowanych w opisanych Budynkach</w:t>
            </w:r>
          </w:p>
        </w:tc>
      </w:tr>
      <w:tr w:rsidR="005C088E" w:rsidRPr="00015907" w14:paraId="61BF8367"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2892" w:type="dxa"/>
            <w:vMerge/>
            <w:tcBorders>
              <w:left w:val="single" w:sz="12" w:space="0" w:color="auto"/>
              <w:right w:val="single" w:sz="6" w:space="0" w:color="auto"/>
            </w:tcBorders>
            <w:shd w:val="clear" w:color="auto" w:fill="F2F2F2" w:themeFill="background1" w:themeFillShade="F2"/>
          </w:tcPr>
          <w:p w14:paraId="31E28564" w14:textId="77777777" w:rsidR="005C088E" w:rsidRPr="00333135" w:rsidRDefault="005C088E" w:rsidP="005C088E">
            <w:pPr>
              <w:spacing w:before="20" w:after="10" w:line="260" w:lineRule="exact"/>
              <w:ind w:left="57" w:right="-57"/>
            </w:pPr>
          </w:p>
        </w:tc>
        <w:tc>
          <w:tcPr>
            <w:tcW w:w="3820" w:type="dxa"/>
            <w:gridSpan w:val="2"/>
            <w:tcBorders>
              <w:top w:val="single" w:sz="6" w:space="0" w:color="auto"/>
              <w:left w:val="single" w:sz="6" w:space="0" w:color="auto"/>
              <w:bottom w:val="single" w:sz="6" w:space="0" w:color="auto"/>
              <w:right w:val="single" w:sz="4" w:space="0" w:color="auto"/>
            </w:tcBorders>
            <w:shd w:val="clear" w:color="auto" w:fill="FFFFFF"/>
          </w:tcPr>
          <w:p w14:paraId="5A240F57" w14:textId="77777777" w:rsidR="005C088E" w:rsidRPr="001B0B9B" w:rsidRDefault="005C088E" w:rsidP="005C088E">
            <w:pPr>
              <w:spacing w:before="20" w:after="10" w:line="260" w:lineRule="exact"/>
              <w:ind w:left="57" w:right="-57"/>
            </w:pPr>
            <w:r w:rsidRPr="001B0B9B">
              <w:t xml:space="preserve">W następujących instytucjach </w:t>
            </w:r>
            <w:r>
              <w:br/>
            </w:r>
            <w:r w:rsidRPr="001B0B9B">
              <w:t>finanso</w:t>
            </w:r>
            <w:r w:rsidRPr="00B344A0">
              <w:rPr>
                <w:spacing w:val="-2"/>
              </w:rPr>
              <w:t xml:space="preserve">wych (wypełnia się w przypadku </w:t>
            </w:r>
            <w:r w:rsidRPr="009A0C09">
              <w:t>kredytu</w:t>
            </w:r>
            <w:r w:rsidRPr="00B344A0">
              <w:rPr>
                <w:spacing w:val="-2"/>
              </w:rPr>
              <w:t>)</w:t>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346D576B" w14:textId="331DEA10" w:rsidR="005C088E" w:rsidRPr="009203EF" w:rsidRDefault="005C088E" w:rsidP="005C088E">
            <w:pPr>
              <w:shd w:val="clear" w:color="auto" w:fill="FFFFFF"/>
              <w:spacing w:before="30" w:line="270" w:lineRule="exact"/>
              <w:rPr>
                <w:rFonts w:ascii="Arial" w:hAnsi="Arial" w:cs="Arial"/>
                <w:b/>
                <w:sz w:val="21"/>
                <w:szCs w:val="21"/>
              </w:rPr>
            </w:pPr>
            <w:r w:rsidRPr="00CF1E8B">
              <w:rPr>
                <w:lang w:eastAsia="en-US"/>
              </w:rPr>
              <w:t>Nie dotycz</w:t>
            </w:r>
            <w:r>
              <w:rPr>
                <w:lang w:eastAsia="en-US"/>
              </w:rPr>
              <w:t>y</w:t>
            </w:r>
          </w:p>
        </w:tc>
      </w:tr>
      <w:tr w:rsidR="005C088E" w:rsidRPr="00015907" w14:paraId="2204DB77"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0"/>
        </w:trPr>
        <w:tc>
          <w:tcPr>
            <w:tcW w:w="2892" w:type="dxa"/>
            <w:vMerge w:val="restart"/>
            <w:tcBorders>
              <w:top w:val="single" w:sz="6" w:space="0" w:color="auto"/>
              <w:left w:val="single" w:sz="12" w:space="0" w:color="auto"/>
              <w:right w:val="single" w:sz="6" w:space="0" w:color="auto"/>
            </w:tcBorders>
            <w:shd w:val="clear" w:color="auto" w:fill="F2F2F2" w:themeFill="background1" w:themeFillShade="F2"/>
          </w:tcPr>
          <w:p w14:paraId="0B20F6F7" w14:textId="77777777" w:rsidR="005C088E" w:rsidRPr="00333135" w:rsidRDefault="005C088E" w:rsidP="005C088E">
            <w:pPr>
              <w:spacing w:before="20" w:after="10" w:line="260" w:lineRule="exact"/>
              <w:ind w:left="57" w:right="-57"/>
            </w:pPr>
            <w:r w:rsidRPr="001B0B9B">
              <w:t>Środki ochrony nabywców</w:t>
            </w:r>
          </w:p>
        </w:tc>
        <w:tc>
          <w:tcPr>
            <w:tcW w:w="3820" w:type="dxa"/>
            <w:gridSpan w:val="2"/>
            <w:tcBorders>
              <w:top w:val="single" w:sz="6" w:space="0" w:color="auto"/>
              <w:left w:val="single" w:sz="6" w:space="0" w:color="auto"/>
              <w:bottom w:val="single" w:sz="6" w:space="0" w:color="auto"/>
              <w:right w:val="single" w:sz="4" w:space="0" w:color="auto"/>
            </w:tcBorders>
            <w:shd w:val="clear" w:color="auto" w:fill="FFFFFF"/>
          </w:tcPr>
          <w:p w14:paraId="0AAF0E77" w14:textId="77777777" w:rsidR="005C088E" w:rsidRPr="00333135" w:rsidRDefault="005C088E" w:rsidP="005C088E">
            <w:pPr>
              <w:spacing w:before="20" w:after="10" w:line="260" w:lineRule="exact"/>
              <w:ind w:left="57" w:right="-57"/>
            </w:pPr>
            <w:r w:rsidRPr="002F2658">
              <w:fldChar w:fldCharType="begin"/>
            </w:r>
            <w:r w:rsidRPr="002F2658">
              <w:instrText xml:space="preserve"> MACROBUTTON Przekreslenie Otwarty mieszkaniowy rachunek</w:instrText>
            </w:r>
            <w:r w:rsidRPr="002F2658">
              <w:fldChar w:fldCharType="end"/>
            </w:r>
            <w:r w:rsidRPr="00B344A0">
              <w:fldChar w:fldCharType="begin"/>
            </w:r>
            <w:r w:rsidRPr="00B344A0">
              <w:instrText xml:space="preserve"> MACROBUTTON Przekreslenie </w:instrText>
            </w:r>
            <w:r>
              <w:instrText>po</w:instrText>
            </w:r>
            <w:r w:rsidRPr="00B344A0">
              <w:instrText>wierniczy</w:instrText>
            </w:r>
            <w:r w:rsidRPr="00B344A0">
              <w:fldChar w:fldCharType="end"/>
            </w:r>
            <w:r w:rsidRPr="007F2F3D">
              <w:rPr>
                <w:rStyle w:val="Odwoanieprzypisudolnego"/>
                <w:vertAlign w:val="baseline"/>
              </w:rPr>
              <w:footnoteReference w:customMarkFollows="1" w:id="9"/>
              <w:t>*</w:t>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78CAAF90" w14:textId="77777777" w:rsidR="005C088E" w:rsidRPr="005C088E" w:rsidRDefault="005C088E" w:rsidP="005C088E">
            <w:pPr>
              <w:spacing w:before="20" w:after="10" w:line="260" w:lineRule="exact"/>
              <w:ind w:left="57" w:right="-57"/>
              <w:rPr>
                <w:dstrike/>
              </w:rPr>
            </w:pPr>
            <w:r w:rsidRPr="005C088E">
              <w:rPr>
                <w:dstrike/>
              </w:rPr>
              <w:fldChar w:fldCharType="begin"/>
            </w:r>
            <w:r w:rsidRPr="005C088E">
              <w:rPr>
                <w:dstrike/>
              </w:rPr>
              <w:instrText xml:space="preserve"> MACROBUTTON Przekreslenie </w:instrText>
            </w:r>
          </w:p>
          <w:p w14:paraId="12BE1A55" w14:textId="77777777" w:rsidR="005C088E" w:rsidRPr="00333135" w:rsidRDefault="005C088E" w:rsidP="005C088E">
            <w:pPr>
              <w:spacing w:before="20" w:after="10" w:line="260" w:lineRule="exact"/>
              <w:ind w:left="57" w:right="-57"/>
            </w:pPr>
            <w:r w:rsidRPr="005C088E">
              <w:rPr>
                <w:dstrike/>
              </w:rPr>
              <w:instrText>Zamknięty mieszkaniowy rachunek po-</w:instrText>
            </w:r>
            <w:r w:rsidRPr="005C088E">
              <w:rPr>
                <w:dstrike/>
              </w:rPr>
              <w:fldChar w:fldCharType="end"/>
            </w:r>
            <w:r>
              <w:br/>
            </w:r>
            <w:r w:rsidRPr="005C088E">
              <w:rPr>
                <w:dstrike/>
              </w:rPr>
              <w:fldChar w:fldCharType="begin"/>
            </w:r>
            <w:r w:rsidRPr="005C088E">
              <w:rPr>
                <w:dstrike/>
              </w:rPr>
              <w:instrText xml:space="preserve"> MACROBUTTON Przekreslenie wierniczy</w:instrText>
            </w:r>
            <w:r w:rsidRPr="005C088E">
              <w:rPr>
                <w:dstrike/>
              </w:rPr>
              <w:fldChar w:fldCharType="end"/>
            </w:r>
            <w:r w:rsidRPr="00333135">
              <w:t>*</w:t>
            </w:r>
          </w:p>
        </w:tc>
      </w:tr>
      <w:tr w:rsidR="005C088E" w:rsidRPr="00015907" w14:paraId="7C76520A"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9"/>
        </w:trPr>
        <w:tc>
          <w:tcPr>
            <w:tcW w:w="2892" w:type="dxa"/>
            <w:vMerge/>
            <w:tcBorders>
              <w:left w:val="single" w:sz="12" w:space="0" w:color="auto"/>
              <w:right w:val="single" w:sz="6" w:space="0" w:color="auto"/>
            </w:tcBorders>
            <w:shd w:val="clear" w:color="auto" w:fill="F2F2F2" w:themeFill="background1" w:themeFillShade="F2"/>
          </w:tcPr>
          <w:p w14:paraId="2F641AA1" w14:textId="77777777" w:rsidR="005C088E" w:rsidRPr="00333135" w:rsidRDefault="005C088E" w:rsidP="005C088E">
            <w:pPr>
              <w:spacing w:before="120" w:after="10" w:line="260" w:lineRule="exact"/>
              <w:ind w:left="57" w:right="-57"/>
            </w:pPr>
          </w:p>
        </w:tc>
        <w:tc>
          <w:tcPr>
            <w:tcW w:w="3820" w:type="dxa"/>
            <w:gridSpan w:val="2"/>
            <w:tcBorders>
              <w:top w:val="single" w:sz="6" w:space="0" w:color="auto"/>
              <w:left w:val="single" w:sz="6" w:space="0" w:color="auto"/>
              <w:bottom w:val="single" w:sz="6" w:space="0" w:color="auto"/>
              <w:right w:val="single" w:sz="4" w:space="0" w:color="auto"/>
            </w:tcBorders>
            <w:shd w:val="clear" w:color="auto" w:fill="FFFFFF"/>
          </w:tcPr>
          <w:p w14:paraId="2E5E6762" w14:textId="77777777" w:rsidR="005C088E" w:rsidRPr="00333135" w:rsidRDefault="005C088E" w:rsidP="005C088E">
            <w:pPr>
              <w:spacing w:before="20" w:after="10" w:line="260" w:lineRule="exact"/>
              <w:ind w:left="57" w:right="-57"/>
            </w:pPr>
            <w:r w:rsidRPr="00B344A0">
              <w:t>Wysokość stawki procentowej, według której jest obliczana kwota składki na Deweloperski Fundusz Gwarancyjny</w:t>
            </w:r>
            <w:r w:rsidRPr="0014178B">
              <w:rPr>
                <w:vertAlign w:val="superscript"/>
              </w:rPr>
              <w:footnoteReference w:id="10"/>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76B0ECB8" w14:textId="7D48EA0E" w:rsidR="005C088E" w:rsidRPr="009203EF" w:rsidRDefault="005C088E" w:rsidP="005C088E">
            <w:pPr>
              <w:shd w:val="clear" w:color="auto" w:fill="FFFFFF"/>
              <w:spacing w:before="30" w:line="270" w:lineRule="exact"/>
              <w:rPr>
                <w:rFonts w:ascii="Arial" w:hAnsi="Arial" w:cs="Arial"/>
                <w:b/>
                <w:sz w:val="21"/>
                <w:szCs w:val="21"/>
              </w:rPr>
            </w:pPr>
            <w:r w:rsidRPr="005C088E">
              <w:rPr>
                <w:lang w:eastAsia="en-US"/>
              </w:rPr>
              <w:t>0,45%</w:t>
            </w:r>
          </w:p>
        </w:tc>
      </w:tr>
      <w:tr w:rsidR="005C088E" w:rsidRPr="00015907" w14:paraId="5B57F8B5"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9"/>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62364BEE" w14:textId="77777777" w:rsidR="005C088E" w:rsidRPr="00333135" w:rsidRDefault="005C088E" w:rsidP="005C088E">
            <w:pPr>
              <w:spacing w:before="20" w:after="10" w:line="260" w:lineRule="exact"/>
              <w:ind w:left="57" w:right="-57"/>
            </w:pPr>
            <w:r w:rsidRPr="00B344A0">
              <w:t>Główne zasady funkcjonowania wybranego rodzaju zabezpieczenia środków nabywcy</w:t>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4684CFEB"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 xml:space="preserve">Szczegółowe przepisy dotyczące MRP od 1 lipca 2022 r. określa </w:t>
            </w:r>
            <w:r w:rsidRPr="006D028B">
              <w:rPr>
                <w:rFonts w:ascii="PKO Bank Polski" w:hAnsi="PKO Bank Polski" w:cs="Arial"/>
                <w:sz w:val="16"/>
                <w:szCs w:val="16"/>
              </w:rPr>
              <w:t>ustawa z dnia 20 maja 2021 r. o ochronie praw nabywcy lokalu mieszkalnego lub domu jednorodzinnego oraz Deweloperskim Funduszu Gwarancyjnym.</w:t>
            </w:r>
          </w:p>
          <w:p w14:paraId="70293380"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MRP służy do ochrony wpłat  nabywcy lokalu i można korzystać z niego wyłącznie do gromadzenia środków wpłacanych przez nabywcę na cele określone w umowie z nabywcą (umowie deweloperskiej lub innej z umów, o których mowa w art. 2 ustawy).</w:t>
            </w:r>
          </w:p>
          <w:p w14:paraId="77A99A20"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Obowiązek ochrony za pomocą MRP dotyczy przede wszystkim wpłat nabywców za:</w:t>
            </w:r>
          </w:p>
          <w:p w14:paraId="408ABBBB" w14:textId="77777777" w:rsidR="006D028B" w:rsidRPr="006D028B" w:rsidRDefault="006D028B" w:rsidP="006D028B">
            <w:pPr>
              <w:numPr>
                <w:ilvl w:val="1"/>
                <w:numId w:val="5"/>
              </w:numPr>
              <w:rPr>
                <w:rFonts w:ascii="PKO Bank Polski" w:hAnsi="PKO Bank Polski"/>
                <w:color w:val="000000"/>
                <w:sz w:val="16"/>
                <w:szCs w:val="24"/>
              </w:rPr>
            </w:pPr>
            <w:r w:rsidRPr="006D028B">
              <w:rPr>
                <w:rFonts w:ascii="PKO Bank Polski" w:hAnsi="PKO Bank Polski"/>
                <w:color w:val="000000"/>
                <w:sz w:val="16"/>
                <w:szCs w:val="24"/>
              </w:rPr>
              <w:t>wybudowanie budynku i przeniesienie własności wyodrębnionego lokalu mieszkalnego,</w:t>
            </w:r>
          </w:p>
          <w:p w14:paraId="2550C363" w14:textId="77777777" w:rsidR="006D028B" w:rsidRPr="006D028B" w:rsidRDefault="006D028B" w:rsidP="006D028B">
            <w:pPr>
              <w:numPr>
                <w:ilvl w:val="1"/>
                <w:numId w:val="5"/>
              </w:numPr>
              <w:rPr>
                <w:rFonts w:ascii="PKO Bank Polski" w:hAnsi="PKO Bank Polski"/>
                <w:color w:val="000000"/>
                <w:sz w:val="16"/>
                <w:szCs w:val="24"/>
              </w:rPr>
            </w:pPr>
            <w:r w:rsidRPr="006D028B">
              <w:rPr>
                <w:rFonts w:ascii="PKO Bank Polski" w:hAnsi="PKO Bank Polski"/>
                <w:color w:val="000000"/>
                <w:sz w:val="16"/>
                <w:szCs w:val="24"/>
              </w:rPr>
              <w:t>wybudowanie domu jednorodzinnego i przeniesienie własności tej nieruchomości,</w:t>
            </w:r>
          </w:p>
          <w:p w14:paraId="26646743" w14:textId="77777777" w:rsidR="006D028B" w:rsidRPr="006D028B" w:rsidRDefault="006D028B" w:rsidP="006D028B">
            <w:pPr>
              <w:numPr>
                <w:ilvl w:val="1"/>
                <w:numId w:val="5"/>
              </w:numPr>
              <w:rPr>
                <w:rFonts w:ascii="PKO Bank Polski" w:hAnsi="PKO Bank Polski"/>
                <w:color w:val="000000"/>
                <w:sz w:val="16"/>
                <w:szCs w:val="24"/>
              </w:rPr>
            </w:pPr>
            <w:r w:rsidRPr="006D028B">
              <w:rPr>
                <w:rFonts w:ascii="PKO Bank Polski" w:hAnsi="PKO Bank Polski"/>
                <w:color w:val="000000"/>
                <w:sz w:val="16"/>
                <w:szCs w:val="24"/>
              </w:rPr>
              <w:t xml:space="preserve">przeniesienie własności powiązanego z lokalem mieszkalnym lub domem jednorodzinnym lokalu użytkowego, </w:t>
            </w:r>
          </w:p>
          <w:p w14:paraId="74DA34F3" w14:textId="77777777" w:rsidR="006D028B" w:rsidRPr="006D028B" w:rsidRDefault="006D028B" w:rsidP="006D028B">
            <w:pPr>
              <w:ind w:left="284"/>
              <w:rPr>
                <w:rFonts w:ascii="PKO Bank Polski" w:hAnsi="PKO Bank Polski"/>
                <w:color w:val="000000"/>
                <w:sz w:val="16"/>
                <w:szCs w:val="24"/>
              </w:rPr>
            </w:pPr>
            <w:r w:rsidRPr="006D028B">
              <w:rPr>
                <w:rFonts w:ascii="PKO Bank Polski" w:hAnsi="PKO Bank Polski"/>
                <w:color w:val="000000"/>
                <w:sz w:val="16"/>
                <w:szCs w:val="24"/>
              </w:rPr>
              <w:t>a szczegółowy zakres umów objętych ochroną określają art. 2-4 ustawy.</w:t>
            </w:r>
          </w:p>
          <w:p w14:paraId="722E56A5"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 xml:space="preserve">Deweloper, który rozpoczyna sprzedaż, ma obowiązek: </w:t>
            </w:r>
          </w:p>
          <w:p w14:paraId="76BEE842" w14:textId="77777777" w:rsidR="006D028B" w:rsidRPr="006D028B" w:rsidRDefault="006D028B" w:rsidP="006D028B">
            <w:pPr>
              <w:numPr>
                <w:ilvl w:val="1"/>
                <w:numId w:val="5"/>
              </w:numPr>
              <w:rPr>
                <w:rFonts w:ascii="PKO Bank Polski" w:hAnsi="PKO Bank Polski"/>
                <w:color w:val="000000"/>
                <w:sz w:val="16"/>
                <w:szCs w:val="24"/>
              </w:rPr>
            </w:pPr>
            <w:r w:rsidRPr="006D028B">
              <w:rPr>
                <w:rFonts w:ascii="PKO Bank Polski" w:hAnsi="PKO Bank Polski"/>
                <w:color w:val="000000"/>
                <w:sz w:val="16"/>
                <w:szCs w:val="24"/>
              </w:rPr>
              <w:lastRenderedPageBreak/>
              <w:t xml:space="preserve">zawrzeć umowę MRP dla danej inwestycji (przedsięwzięcia deweloperskiego lub zadania inwestycyjnego), </w:t>
            </w:r>
          </w:p>
          <w:p w14:paraId="14E1109C" w14:textId="77777777" w:rsidR="006D028B" w:rsidRPr="006D028B" w:rsidRDefault="006D028B" w:rsidP="006D028B">
            <w:pPr>
              <w:numPr>
                <w:ilvl w:val="1"/>
                <w:numId w:val="5"/>
              </w:numPr>
              <w:rPr>
                <w:rFonts w:ascii="PKO Bank Polski" w:hAnsi="PKO Bank Polski"/>
                <w:color w:val="000000"/>
                <w:sz w:val="16"/>
                <w:szCs w:val="24"/>
              </w:rPr>
            </w:pPr>
            <w:r w:rsidRPr="006D028B">
              <w:rPr>
                <w:rFonts w:ascii="PKO Bank Polski" w:hAnsi="PKO Bank Polski"/>
                <w:color w:val="000000"/>
                <w:sz w:val="16"/>
                <w:szCs w:val="24"/>
              </w:rPr>
              <w:t>posiadać MRP do dnia, w którym przeniesie na nabywcę prawa z ostatniej umowy z nabywcą (własność lokalu).</w:t>
            </w:r>
          </w:p>
          <w:p w14:paraId="1946E20D"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 xml:space="preserve">Nabywca wpłaca środki na MRP zgodnie z postępem realizacji inwestycji, po zakończeniu danego etapu prac. Wysokość wpłat zależy od faktycznego stopnia realizacji poszczególnych etapów inwestycji, które są określone w harmonogramie. </w:t>
            </w:r>
          </w:p>
          <w:p w14:paraId="4F5ADB19"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Bank zapisuje wpłaty nabywców na ich Indywidualnych Rachunkach Nabywców (IRN).</w:t>
            </w:r>
          </w:p>
          <w:p w14:paraId="6B9427C5"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Od każdej wpłaty nabywcy deweloper ma obowiązek wpłacać terminowo składki na Deweloperski Fundusz Gwarancyjny (DFG) zgodnie z przepisami ustawy. Aktualnie wysokość składki na DFG wynosi 0,45% od każdej wpłaty nabywcy.</w:t>
            </w:r>
          </w:p>
          <w:p w14:paraId="2DC69AAB"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Bank wypłaca deweloperowi środki z Otwartego MRP po potwierdzeniu, że zakończył się dany etap realizacji inwestycji.</w:t>
            </w:r>
          </w:p>
          <w:p w14:paraId="37284D64"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Bank wypłaca deweloperowi środki od nabywcy najwcześniej po 30 dniach od zawarcia umowy z tym nabywcą.</w:t>
            </w:r>
          </w:p>
          <w:p w14:paraId="202DC2CE"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W przypadku wypłaty musi być zachowana kolejność etapów, która jest określona w harmonogramie (wypłata z danego etapu może nastąpić wyłącznie po wypłacie z etapów poprzedzających).</w:t>
            </w:r>
          </w:p>
          <w:p w14:paraId="16972BA2"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s="Arial"/>
                <w:bCs/>
                <w:sz w:val="16"/>
                <w:szCs w:val="16"/>
              </w:rPr>
              <w:t>Przed wypłatą środków z Otwartego MRP, Bank</w:t>
            </w:r>
            <w:r w:rsidRPr="006D028B">
              <w:rPr>
                <w:rFonts w:ascii="PKO Bank Polski" w:hAnsi="PKO Bank Polski" w:cs="Arial"/>
                <w:sz w:val="16"/>
                <w:szCs w:val="16"/>
              </w:rPr>
              <w:t xml:space="preserve"> </w:t>
            </w:r>
            <w:r w:rsidRPr="006D028B">
              <w:rPr>
                <w:rFonts w:ascii="PKO Bank Polski" w:hAnsi="PKO Bank Polski" w:cs="Arial"/>
                <w:bCs/>
                <w:sz w:val="16"/>
                <w:szCs w:val="16"/>
              </w:rPr>
              <w:t xml:space="preserve">kontroluje, czy zakończył się dany </w:t>
            </w:r>
            <w:r w:rsidRPr="006D028B">
              <w:rPr>
                <w:rFonts w:ascii="PKO Bank Polski" w:hAnsi="PKO Bank Polski" w:cs="Arial"/>
                <w:sz w:val="16"/>
                <w:szCs w:val="16"/>
              </w:rPr>
              <w:t>etap inwestycji</w:t>
            </w:r>
            <w:r w:rsidRPr="006D028B">
              <w:rPr>
                <w:rFonts w:ascii="PKO Bank Polski" w:hAnsi="PKO Bank Polski" w:cs="Arial"/>
                <w:bCs/>
                <w:sz w:val="16"/>
                <w:szCs w:val="16"/>
              </w:rPr>
              <w:t xml:space="preserve">. Kontrola polega w szczególności na inspekcji placu budowy oraz sprawdzeniu w dzienniku budowy, czy jest udokumentowane zakończenie realizacji danego etapu </w:t>
            </w:r>
            <w:r w:rsidRPr="006D028B">
              <w:rPr>
                <w:rFonts w:ascii="PKO Bank Polski" w:hAnsi="PKO Bank Polski" w:cs="Arial"/>
                <w:sz w:val="16"/>
                <w:szCs w:val="16"/>
              </w:rPr>
              <w:t>inwestycji</w:t>
            </w:r>
            <w:r w:rsidRPr="006D028B">
              <w:rPr>
                <w:rFonts w:ascii="PKO Bank Polski" w:hAnsi="PKO Bank Polski" w:cs="Arial"/>
                <w:bCs/>
                <w:sz w:val="16"/>
                <w:szCs w:val="16"/>
              </w:rPr>
              <w:t>.</w:t>
            </w:r>
            <w:r w:rsidRPr="006D028B">
              <w:rPr>
                <w:rFonts w:ascii="PKO Bank Polski" w:hAnsi="PKO Bank Polski"/>
                <w:color w:val="000000"/>
                <w:sz w:val="16"/>
                <w:szCs w:val="24"/>
              </w:rPr>
              <w:t xml:space="preserve"> </w:t>
            </w:r>
            <w:r w:rsidRPr="006D028B">
              <w:rPr>
                <w:rFonts w:ascii="PKO Bank Polski" w:hAnsi="PKO Bank Polski" w:cs="Arial"/>
                <w:bCs/>
                <w:sz w:val="16"/>
                <w:szCs w:val="16"/>
              </w:rPr>
              <w:t>Szczegółowy zakres kontroli określa art. 17 ustawy.</w:t>
            </w:r>
          </w:p>
          <w:p w14:paraId="4071B4AD"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W przypadku ostatniego etapu prac, Bank wypłaca pozostałe na Otwartym MRP środki po otrzymaniu wypisu aktu notarialnego umowy, która przenosi na nabywcę prawa wynikające z umowy z nabywcą (własność lokalu) w stanie wolnym od obciążeń, praw i roszczeń osób trzecich, z wyjątkiem obciążeń, na które wyraził zgodę nabywca.</w:t>
            </w:r>
          </w:p>
          <w:p w14:paraId="652D2DFB"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Kwota do wypłaty z IRN w ramach danego etapu wynika z procentowego udziału kosztów tego etapu (określonych w harmonogramie) w cenie lokalu.</w:t>
            </w:r>
          </w:p>
          <w:p w14:paraId="1149EDEC" w14:textId="77777777" w:rsidR="006D028B" w:rsidRPr="006D028B" w:rsidRDefault="006D028B" w:rsidP="006D028B">
            <w:pPr>
              <w:numPr>
                <w:ilvl w:val="0"/>
                <w:numId w:val="5"/>
              </w:numPr>
              <w:rPr>
                <w:rFonts w:ascii="PKO Bank Polski" w:hAnsi="PKO Bank Polski"/>
                <w:color w:val="000000"/>
                <w:sz w:val="16"/>
                <w:szCs w:val="24"/>
              </w:rPr>
            </w:pPr>
            <w:r w:rsidRPr="006D028B">
              <w:rPr>
                <w:rFonts w:ascii="PKO Bank Polski" w:hAnsi="PKO Bank Polski"/>
                <w:color w:val="000000"/>
                <w:sz w:val="16"/>
                <w:szCs w:val="24"/>
              </w:rPr>
              <w:t>Prawo wypowiedzenia umowy rachunku przysługuje wyłącznie Bankowi, który może ją wypowiedzieć tylko z ważnych powodów określonych w umowie.</w:t>
            </w:r>
          </w:p>
          <w:p w14:paraId="580BE4DE" w14:textId="454C0B55" w:rsidR="005C088E" w:rsidRPr="009203EF" w:rsidRDefault="005C088E" w:rsidP="005C088E">
            <w:pPr>
              <w:shd w:val="clear" w:color="auto" w:fill="FFFFFF"/>
              <w:spacing w:before="30" w:line="270" w:lineRule="exact"/>
              <w:rPr>
                <w:rFonts w:ascii="Arial" w:hAnsi="Arial" w:cs="Arial"/>
                <w:b/>
                <w:sz w:val="21"/>
                <w:szCs w:val="21"/>
              </w:rPr>
            </w:pPr>
          </w:p>
        </w:tc>
      </w:tr>
      <w:tr w:rsidR="005C088E" w:rsidRPr="00015907" w14:paraId="1F1BA0E0"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2892" w:type="dxa"/>
            <w:tcBorders>
              <w:top w:val="single" w:sz="6" w:space="0" w:color="auto"/>
              <w:left w:val="single" w:sz="12" w:space="0" w:color="auto"/>
              <w:bottom w:val="single" w:sz="4" w:space="0" w:color="auto"/>
              <w:right w:val="single" w:sz="6" w:space="0" w:color="auto"/>
            </w:tcBorders>
            <w:shd w:val="clear" w:color="auto" w:fill="F2F2F2" w:themeFill="background1" w:themeFillShade="F2"/>
          </w:tcPr>
          <w:p w14:paraId="58ED0C59" w14:textId="77777777" w:rsidR="005C088E" w:rsidRPr="00333135" w:rsidRDefault="005C088E" w:rsidP="005C088E">
            <w:pPr>
              <w:spacing w:before="20" w:after="10" w:line="260" w:lineRule="exact"/>
              <w:ind w:left="57" w:right="-57"/>
            </w:pPr>
            <w:r w:rsidRPr="00B344A0">
              <w:lastRenderedPageBreak/>
              <w:t>Nazwa instytucji zapewniającej bezpieczeństwo środków nabywcy</w:t>
            </w:r>
          </w:p>
        </w:tc>
        <w:tc>
          <w:tcPr>
            <w:tcW w:w="7320" w:type="dxa"/>
            <w:gridSpan w:val="3"/>
            <w:tcBorders>
              <w:top w:val="single" w:sz="6" w:space="0" w:color="auto"/>
              <w:left w:val="single" w:sz="6" w:space="0" w:color="auto"/>
              <w:bottom w:val="single" w:sz="6" w:space="0" w:color="auto"/>
              <w:right w:val="single" w:sz="12" w:space="0" w:color="auto"/>
            </w:tcBorders>
            <w:shd w:val="clear" w:color="auto" w:fill="FFFFFF"/>
          </w:tcPr>
          <w:p w14:paraId="18FF8EF2" w14:textId="0FE2FCB2" w:rsidR="005C088E" w:rsidRPr="009203EF" w:rsidRDefault="006D028B" w:rsidP="005C088E">
            <w:pPr>
              <w:shd w:val="clear" w:color="auto" w:fill="FFFFFF"/>
              <w:spacing w:before="30" w:line="270" w:lineRule="exact"/>
              <w:rPr>
                <w:rFonts w:ascii="Arial" w:hAnsi="Arial" w:cs="Arial"/>
                <w:b/>
                <w:sz w:val="21"/>
                <w:szCs w:val="21"/>
              </w:rPr>
            </w:pPr>
            <w:r w:rsidRPr="006D028B">
              <w:rPr>
                <w:lang w:eastAsia="en-US"/>
              </w:rPr>
              <w:t>Powszechna Kasa Oszczędności Bank Polski Spółka Akcyjna z siedzibą w Warszawie</w:t>
            </w:r>
          </w:p>
        </w:tc>
      </w:tr>
      <w:tr w:rsidR="006D028B" w:rsidRPr="00015907" w14:paraId="0B1A9347" w14:textId="77777777" w:rsidTr="00294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6"/>
        </w:trPr>
        <w:tc>
          <w:tcPr>
            <w:tcW w:w="2892"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01F76561" w14:textId="77777777" w:rsidR="006D028B" w:rsidRPr="00B344A0" w:rsidRDefault="006D028B" w:rsidP="006D028B">
            <w:pPr>
              <w:spacing w:before="20" w:after="10" w:line="260" w:lineRule="exact"/>
              <w:ind w:left="57" w:right="-57"/>
            </w:pPr>
            <w:r w:rsidRPr="00B344A0">
              <w:t>Harmonogram przedsięwzięcia deweloperskiego lub zadania inwestycyjnego</w:t>
            </w:r>
          </w:p>
        </w:tc>
        <w:tc>
          <w:tcPr>
            <w:tcW w:w="7320" w:type="dxa"/>
            <w:gridSpan w:val="3"/>
          </w:tcPr>
          <w:p w14:paraId="388DBF3D" w14:textId="72326930" w:rsidR="006D028B" w:rsidRPr="001C3286" w:rsidRDefault="006D028B" w:rsidP="006D028B">
            <w:pPr>
              <w:spacing w:beforeLines="60" w:before="144" w:afterLines="60" w:after="144"/>
              <w:jc w:val="both"/>
            </w:pPr>
            <w:r w:rsidRPr="001C3286">
              <w:t>1 S</w:t>
            </w:r>
            <w:r>
              <w:t xml:space="preserve">TAN ZERO ( </w:t>
            </w:r>
            <w:bookmarkStart w:id="0" w:name="_Hlk189594216"/>
            <w:r>
              <w:t>Prace ziemne</w:t>
            </w:r>
            <w:r w:rsidR="003A2E40">
              <w:t>,</w:t>
            </w:r>
            <w:r>
              <w:t xml:space="preserve"> fundamenty, izolacja termiczna</w:t>
            </w:r>
            <w:r w:rsidR="005D53F5">
              <w:t xml:space="preserve"> </w:t>
            </w:r>
            <w:r>
              <w:t xml:space="preserve"> oraz przeciwwilgociowa</w:t>
            </w:r>
            <w:r w:rsidR="00C654AB">
              <w:t xml:space="preserve"> fundamentów</w:t>
            </w:r>
            <w:r w:rsidR="003A2E40">
              <w:t>,  kanalizacja wyprowadzona</w:t>
            </w:r>
            <w:r w:rsidR="00C654AB">
              <w:t xml:space="preserve"> w posadzce oraz na zewnątrz budynku</w:t>
            </w:r>
            <w:r w:rsidR="003A2E40">
              <w:t xml:space="preserve"> bez zbiornika na nieczystości ciekłe</w:t>
            </w:r>
            <w:bookmarkEnd w:id="0"/>
            <w:r w:rsidR="003A2E40">
              <w:t xml:space="preserve">) </w:t>
            </w:r>
            <w:r w:rsidRPr="001C3286">
              <w:t xml:space="preserve"> rozpoczęty 31.10.2024 zakończony 09.11.2024 (20%)</w:t>
            </w:r>
          </w:p>
          <w:p w14:paraId="30EE4F51" w14:textId="32D451E7" w:rsidR="006D028B" w:rsidRPr="001C3286" w:rsidRDefault="006D028B" w:rsidP="006D028B">
            <w:pPr>
              <w:spacing w:beforeLines="60" w:before="144" w:afterLines="60" w:after="144"/>
              <w:jc w:val="both"/>
            </w:pPr>
            <w:r w:rsidRPr="001C3286">
              <w:t xml:space="preserve">2 </w:t>
            </w:r>
            <w:r>
              <w:t xml:space="preserve">PARTER ( </w:t>
            </w:r>
            <w:bookmarkStart w:id="1" w:name="_Hlk189594293"/>
            <w:r>
              <w:t>Ściany</w:t>
            </w:r>
            <w:r w:rsidR="00C654AB">
              <w:t xml:space="preserve"> konstrukcyjne</w:t>
            </w:r>
            <w:r>
              <w:t xml:space="preserve"> bez działówek</w:t>
            </w:r>
            <w:r w:rsidR="00C654AB">
              <w:t xml:space="preserve">, wylanie schodów monolitycznych prowadzących z parteru na piętro, wykonany strop nad parterem </w:t>
            </w:r>
            <w:bookmarkEnd w:id="1"/>
            <w:r w:rsidR="00C654AB">
              <w:t>)</w:t>
            </w:r>
            <w:r w:rsidRPr="001C3286">
              <w:t xml:space="preserve"> rozpoczęty 11.11.2024 zakończ</w:t>
            </w:r>
            <w:r>
              <w:t>ony</w:t>
            </w:r>
            <w:r w:rsidRPr="001C3286">
              <w:t xml:space="preserve"> 20.12.2024 (20%)</w:t>
            </w:r>
          </w:p>
          <w:p w14:paraId="4165AD31" w14:textId="07DDB0A6" w:rsidR="006D028B" w:rsidRPr="001C3286" w:rsidRDefault="006D028B" w:rsidP="006D028B">
            <w:pPr>
              <w:spacing w:beforeLines="60" w:before="144" w:afterLines="60" w:after="144"/>
              <w:jc w:val="both"/>
            </w:pPr>
            <w:r>
              <w:t xml:space="preserve">3 </w:t>
            </w:r>
            <w:r w:rsidR="003A2E40">
              <w:t>STAN SUROWY OTWARTY (</w:t>
            </w:r>
            <w:bookmarkStart w:id="2" w:name="_Hlk189594356"/>
            <w:r w:rsidR="00C654AB">
              <w:t>Ściany konstrukcyjne na Piętrze</w:t>
            </w:r>
            <w:r w:rsidR="003A2E40">
              <w:t xml:space="preserve"> wraz z</w:t>
            </w:r>
            <w:r w:rsidR="00C654AB">
              <w:t xml:space="preserve"> wykonaniem</w:t>
            </w:r>
            <w:r w:rsidR="003A2E40">
              <w:t xml:space="preserve"> strop</w:t>
            </w:r>
            <w:r w:rsidR="00C654AB">
              <w:t>u nad Piętrem,</w:t>
            </w:r>
            <w:r w:rsidR="003A2E40">
              <w:t xml:space="preserve"> śc</w:t>
            </w:r>
            <w:r w:rsidR="00305CB0">
              <w:t>iany</w:t>
            </w:r>
            <w:r w:rsidR="003A2E40">
              <w:t xml:space="preserve"> działow</w:t>
            </w:r>
            <w:r w:rsidR="00305CB0">
              <w:t>e</w:t>
            </w:r>
            <w:r w:rsidR="003A2E40">
              <w:t xml:space="preserve"> na parterze oraz piętrze, , ściany szczytowe, więźba dachowa</w:t>
            </w:r>
            <w:bookmarkEnd w:id="2"/>
            <w:r w:rsidR="003A2E40">
              <w:t>)</w:t>
            </w:r>
            <w:r w:rsidRPr="001C3286">
              <w:t xml:space="preserve"> rozpoczęcie 01.03.2025 zakończenie 01.05.2025 (10%)</w:t>
            </w:r>
          </w:p>
          <w:p w14:paraId="74B217AD" w14:textId="78D6F760" w:rsidR="006D028B" w:rsidRPr="001C3286" w:rsidRDefault="006D028B" w:rsidP="006D028B">
            <w:pPr>
              <w:spacing w:beforeLines="60" w:before="144" w:afterLines="60" w:after="144"/>
              <w:jc w:val="both"/>
            </w:pPr>
            <w:r>
              <w:t xml:space="preserve">4 </w:t>
            </w:r>
            <w:r w:rsidR="003A2E40">
              <w:t>STAN SUROWY ZAMKNIĘTY (</w:t>
            </w:r>
            <w:bookmarkStart w:id="3" w:name="_Hlk189594409"/>
            <w:r w:rsidR="00305CB0">
              <w:t>Wykonanie  pokrycia dachowego bez orynnowania</w:t>
            </w:r>
            <w:r w:rsidR="00720F83">
              <w:t xml:space="preserve">, </w:t>
            </w:r>
            <w:r w:rsidR="00305CB0">
              <w:t xml:space="preserve">stolarka okienna oraz montaż drzwi wejściowych </w:t>
            </w:r>
            <w:bookmarkEnd w:id="3"/>
            <w:r w:rsidR="00305CB0">
              <w:t>)</w:t>
            </w:r>
            <w:r w:rsidRPr="001C3286">
              <w:t>rozpoczęcie 05.05.2025 zakończenie 01.07.2025 (20%)</w:t>
            </w:r>
          </w:p>
          <w:p w14:paraId="6F4330BF" w14:textId="52EDA203" w:rsidR="006D028B" w:rsidRPr="001C3286" w:rsidRDefault="006D028B" w:rsidP="006D028B">
            <w:pPr>
              <w:spacing w:beforeLines="60" w:before="144" w:afterLines="60" w:after="144"/>
              <w:jc w:val="both"/>
            </w:pPr>
            <w:r>
              <w:t>5</w:t>
            </w:r>
            <w:r w:rsidR="002319B3">
              <w:t xml:space="preserve"> PRACE WYKOŃCZENIOWE WEWNĄTRZ (</w:t>
            </w:r>
            <w:r>
              <w:t xml:space="preserve"> </w:t>
            </w:r>
            <w:bookmarkStart w:id="4" w:name="_Hlk189594485"/>
            <w:r>
              <w:t>I</w:t>
            </w:r>
            <w:r w:rsidRPr="001C3286">
              <w:t>nstalacje</w:t>
            </w:r>
            <w:r w:rsidR="002319B3">
              <w:t xml:space="preserve"> sanitarne</w:t>
            </w:r>
            <w:r w:rsidR="00305CB0">
              <w:t>,</w:t>
            </w:r>
            <w:r w:rsidR="002319B3">
              <w:t xml:space="preserve"> wodnokanalizacyjne instalacje </w:t>
            </w:r>
            <w:r w:rsidR="00305CB0">
              <w:t xml:space="preserve"> centralnego ogrzewania</w:t>
            </w:r>
            <w:r>
              <w:t>,</w:t>
            </w:r>
            <w:r w:rsidR="00305CB0">
              <w:t xml:space="preserve"> instalacje elektryczne,</w:t>
            </w:r>
            <w:r w:rsidRPr="001C3286">
              <w:t xml:space="preserve"> tynki</w:t>
            </w:r>
            <w:r w:rsidR="00305CB0">
              <w:t xml:space="preserve"> oraz</w:t>
            </w:r>
            <w:r w:rsidRPr="001C3286">
              <w:t xml:space="preserve"> posadzki</w:t>
            </w:r>
            <w:r w:rsidR="0026753B">
              <w:t xml:space="preserve"> wraz z wykonaniem posadzki nad Piętrem</w:t>
            </w:r>
            <w:bookmarkEnd w:id="4"/>
            <w:r w:rsidR="002319B3">
              <w:t>)</w:t>
            </w:r>
            <w:r w:rsidRPr="001C3286">
              <w:t xml:space="preserve"> rozpoczęcie 07.07.2025 zakończenie 29.08.2025 (10%)</w:t>
            </w:r>
          </w:p>
          <w:p w14:paraId="7FB1F49C" w14:textId="7A7D7D6E" w:rsidR="006D028B" w:rsidRPr="001C3286" w:rsidRDefault="006D028B" w:rsidP="006D028B">
            <w:pPr>
              <w:spacing w:beforeLines="60" w:before="144" w:afterLines="60" w:after="144"/>
              <w:jc w:val="both"/>
            </w:pPr>
            <w:r w:rsidRPr="001C3286">
              <w:t>6 E</w:t>
            </w:r>
            <w:r w:rsidR="002319B3">
              <w:t>LEWACJA</w:t>
            </w:r>
            <w:r w:rsidR="00305CB0">
              <w:t xml:space="preserve">( </w:t>
            </w:r>
            <w:bookmarkStart w:id="5" w:name="_Hlk189594536"/>
            <w:r w:rsidR="00305CB0">
              <w:t>wykonanie izolacji termicznej na zewnątrz budynku wykończone na 100% wraz z orynnowaniem oraz montażem parapetów zewnętrznych</w:t>
            </w:r>
            <w:bookmarkEnd w:id="5"/>
            <w:r w:rsidR="00305CB0">
              <w:t xml:space="preserve">) </w:t>
            </w:r>
            <w:r w:rsidRPr="001C3286">
              <w:t>rozpoczęcie 01.09.2025 zakończenie 30.10.2025 (10%)</w:t>
            </w:r>
          </w:p>
          <w:p w14:paraId="0AF8EFF7" w14:textId="162EE6DD" w:rsidR="006D028B" w:rsidRPr="006D028B" w:rsidRDefault="006D028B" w:rsidP="006D028B">
            <w:pPr>
              <w:shd w:val="clear" w:color="auto" w:fill="FFFFFF"/>
              <w:spacing w:before="30" w:line="270" w:lineRule="exact"/>
              <w:rPr>
                <w:rFonts w:ascii="Arial" w:hAnsi="Arial" w:cs="Arial"/>
                <w:b/>
                <w:sz w:val="21"/>
                <w:szCs w:val="21"/>
              </w:rPr>
            </w:pPr>
            <w:r w:rsidRPr="001C3286">
              <w:t xml:space="preserve">7 </w:t>
            </w:r>
            <w:r w:rsidR="002319B3">
              <w:t xml:space="preserve">ZAGOSPODAROWANIE TERENU </w:t>
            </w:r>
            <w:r w:rsidRPr="001C3286">
              <w:t xml:space="preserve"> </w:t>
            </w:r>
            <w:r w:rsidR="002319B3">
              <w:t>(</w:t>
            </w:r>
            <w:r w:rsidRPr="001C3286">
              <w:t>ogrodzenie</w:t>
            </w:r>
            <w:r w:rsidR="002319B3">
              <w:t xml:space="preserve">, kostka parkingi montaż i instalacja zbiorników na nieczystości ciekłe </w:t>
            </w:r>
            <w:r w:rsidR="009275CA">
              <w:t>)</w:t>
            </w:r>
            <w:r w:rsidRPr="001C3286">
              <w:t xml:space="preserve"> rozpoczęcie 03.11.2025 zakończenie </w:t>
            </w:r>
            <w:r w:rsidR="00AD47F9">
              <w:t>30</w:t>
            </w:r>
            <w:r w:rsidRPr="001C3286">
              <w:t>.0</w:t>
            </w:r>
            <w:r w:rsidR="00790CB8">
              <w:t>6</w:t>
            </w:r>
            <w:r w:rsidRPr="001C3286">
              <w:t>.2026 (10%)</w:t>
            </w:r>
          </w:p>
        </w:tc>
      </w:tr>
      <w:tr w:rsidR="009275CA" w:rsidRPr="00015907" w14:paraId="6F146E60" w14:textId="77777777" w:rsidTr="004100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rPr>
        <w:tc>
          <w:tcPr>
            <w:tcW w:w="2892"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1590CC46" w14:textId="7CAD54B9" w:rsidR="009275CA" w:rsidRPr="00B344A0" w:rsidRDefault="009275CA" w:rsidP="009275CA">
            <w:pPr>
              <w:spacing w:before="20" w:after="10" w:line="260" w:lineRule="exact"/>
              <w:ind w:left="57" w:right="-57"/>
            </w:pPr>
            <w:r>
              <w:t>),</w:t>
            </w:r>
            <w:r w:rsidRPr="00B344A0">
              <w:t>Dopuszczenie waloryzacji ceny</w:t>
            </w:r>
            <w:r>
              <w:br/>
            </w:r>
            <w:r w:rsidRPr="00B344A0">
              <w:t>oraz określenie zasad waloryzacji</w:t>
            </w:r>
          </w:p>
        </w:tc>
        <w:tc>
          <w:tcPr>
            <w:tcW w:w="7320" w:type="dxa"/>
            <w:gridSpan w:val="3"/>
          </w:tcPr>
          <w:p w14:paraId="4CDC99F0" w14:textId="77777777" w:rsidR="009275CA" w:rsidRPr="008D1C43" w:rsidRDefault="009275CA" w:rsidP="009275CA">
            <w:pPr>
              <w:pStyle w:val="Akapitzlist"/>
              <w:numPr>
                <w:ilvl w:val="0"/>
                <w:numId w:val="6"/>
              </w:numPr>
              <w:spacing w:beforeLines="60" w:before="144" w:afterLines="60" w:after="144" w:line="240" w:lineRule="auto"/>
              <w:jc w:val="both"/>
              <w:rPr>
                <w:rFonts w:cs="Times New Roman"/>
                <w:sz w:val="20"/>
              </w:rPr>
            </w:pPr>
            <w:r w:rsidRPr="008D1C43">
              <w:rPr>
                <w:rFonts w:cs="Times New Roman"/>
                <w:sz w:val="20"/>
              </w:rPr>
              <w:t xml:space="preserve">Stawający oświadczają, że Cena określona </w:t>
            </w:r>
            <w:r>
              <w:rPr>
                <w:rFonts w:cs="Times New Roman"/>
                <w:sz w:val="20"/>
              </w:rPr>
              <w:t>Umowie Deweloperskiej</w:t>
            </w:r>
            <w:r w:rsidRPr="008D1C43">
              <w:rPr>
                <w:rFonts w:cs="Times New Roman"/>
                <w:sz w:val="20"/>
              </w:rPr>
              <w:t xml:space="preserve"> nie podlega waloryzacji i może ulec zmianie – zgodnie z poniższymi postanowieniami – w wyniku ewentualnej zmiany stawki podatku od towarów i usług (stawka VAT), a także w przypadku, gdy wystąpi różnica pomiędzy projektowaną Powierzchnią Rozliczeniową Lokalu, a Powierzchnią Rozliczeniową Lokalu wynikającą z </w:t>
            </w:r>
            <w:r w:rsidRPr="008D1C43">
              <w:rPr>
                <w:rFonts w:cs="Times New Roman"/>
                <w:sz w:val="20"/>
              </w:rPr>
              <w:lastRenderedPageBreak/>
              <w:t>pomiaru powykonawczego, zgodnie z postanowieniami zawartymi w §9</w:t>
            </w:r>
            <w:r>
              <w:rPr>
                <w:rFonts w:cs="Times New Roman"/>
                <w:sz w:val="20"/>
              </w:rPr>
              <w:t xml:space="preserve"> Umowy Deweloperskiej.</w:t>
            </w:r>
          </w:p>
          <w:p w14:paraId="460A5FA8" w14:textId="77777777" w:rsidR="009275CA" w:rsidRPr="008D1C43" w:rsidRDefault="009275CA" w:rsidP="009275CA">
            <w:pPr>
              <w:pStyle w:val="Akapitzlist"/>
              <w:numPr>
                <w:ilvl w:val="0"/>
                <w:numId w:val="6"/>
              </w:numPr>
              <w:spacing w:beforeLines="60" w:before="144" w:afterLines="60" w:after="144" w:line="240" w:lineRule="auto"/>
              <w:jc w:val="both"/>
              <w:rPr>
                <w:rFonts w:cs="Times New Roman"/>
                <w:sz w:val="20"/>
              </w:rPr>
            </w:pPr>
            <w:r w:rsidRPr="008D1C43">
              <w:rPr>
                <w:rFonts w:cs="Times New Roman"/>
                <w:sz w:val="20"/>
              </w:rPr>
              <w:t>Stawający oświadczają, że w sytuacji zmiany stawki podatku od towarów i usług</w:t>
            </w:r>
            <w:r>
              <w:rPr>
                <w:rFonts w:cs="Times New Roman"/>
                <w:sz w:val="20"/>
              </w:rPr>
              <w:t xml:space="preserve"> (VAT) w trakcie obowiązywania U</w:t>
            </w:r>
            <w:r w:rsidRPr="008D1C43">
              <w:rPr>
                <w:rFonts w:cs="Times New Roman"/>
                <w:sz w:val="20"/>
              </w:rPr>
              <w:t xml:space="preserve">mowy </w:t>
            </w:r>
            <w:r>
              <w:rPr>
                <w:rFonts w:cs="Times New Roman"/>
                <w:sz w:val="20"/>
              </w:rPr>
              <w:t xml:space="preserve">Deweloperskiej </w:t>
            </w:r>
            <w:r w:rsidRPr="008D1C43">
              <w:rPr>
                <w:rFonts w:cs="Times New Roman"/>
                <w:sz w:val="20"/>
              </w:rPr>
              <w:t xml:space="preserve">Inwestor powiadomi Nabywcę na piśmie, przesyłając mu jednocześnie zaktualizowany harmonogram wpłat zgodnie z obowiązującą stawką tego podatku, przy czym w przypadku podwyższenia stawki podatku od towarów i usług (VAT) skutkującej podwyższeniem Ceny, Nabywca uprawniony będzie do odstąpienia od </w:t>
            </w:r>
            <w:r>
              <w:rPr>
                <w:rFonts w:cs="Times New Roman"/>
                <w:sz w:val="20"/>
              </w:rPr>
              <w:t>Umowy Deweloperskiej</w:t>
            </w:r>
            <w:r w:rsidRPr="008D1C43">
              <w:rPr>
                <w:rFonts w:cs="Times New Roman"/>
                <w:sz w:val="20"/>
              </w:rPr>
              <w:t xml:space="preserve"> w terminie 14 dni od dnia otrzymania od Inwestora powiadomienia opisanego powyżej, jednakże nie później niż w terminie do dnia 31 stycznia 2026 roku. Stawający zgodnie postanawiają, że do prawa odstąpienia, o którym mowa w niniejszym ustępie zastosowanie</w:t>
            </w:r>
            <w:r>
              <w:rPr>
                <w:rFonts w:cs="Times New Roman"/>
                <w:sz w:val="20"/>
              </w:rPr>
              <w:t xml:space="preserve"> mają postanowienia §12 ust. 6 Umowy D</w:t>
            </w:r>
            <w:r w:rsidRPr="008D1C43">
              <w:rPr>
                <w:rFonts w:cs="Times New Roman"/>
                <w:sz w:val="20"/>
              </w:rPr>
              <w:t xml:space="preserve">eweloperskiej. </w:t>
            </w:r>
          </w:p>
          <w:p w14:paraId="6EF95A91" w14:textId="41900355" w:rsidR="009275CA" w:rsidRPr="009203EF" w:rsidRDefault="009275CA" w:rsidP="009275CA">
            <w:pPr>
              <w:shd w:val="clear" w:color="auto" w:fill="FFFFFF"/>
              <w:spacing w:before="30" w:line="270" w:lineRule="exact"/>
              <w:rPr>
                <w:rFonts w:ascii="Arial" w:hAnsi="Arial" w:cs="Arial"/>
                <w:b/>
                <w:sz w:val="21"/>
                <w:szCs w:val="21"/>
              </w:rPr>
            </w:pPr>
          </w:p>
        </w:tc>
      </w:tr>
      <w:tr w:rsidR="009275CA" w:rsidRPr="009505BB" w14:paraId="5FA24C4B"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1"/>
        </w:trPr>
        <w:tc>
          <w:tcPr>
            <w:tcW w:w="10212"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7DDB42E5" w14:textId="77777777" w:rsidR="009275CA" w:rsidRPr="009505BB" w:rsidRDefault="009275CA" w:rsidP="009275CA">
            <w:pPr>
              <w:spacing w:before="120" w:after="10" w:line="260" w:lineRule="exact"/>
              <w:ind w:left="57" w:right="137"/>
              <w:jc w:val="both"/>
              <w:rPr>
                <w:b/>
                <w:bCs/>
              </w:rPr>
            </w:pPr>
            <w:r w:rsidRPr="002F2658">
              <w:rPr>
                <w:b/>
                <w:bCs/>
              </w:rPr>
              <w:lastRenderedPageBreak/>
              <w:t>WARUNKI ODSTĄPIENIA OD UMOWY DEWELOPERSKIEJ LUB UMOWY, O KTÓREJ MOWA W ART. 2 UST. 1 PKT 2, 3 LUB 5 USTAWY Z DNIA 20 MAJA 2021 r. O OCHRONIE PRAW NABYWCY LOKALU MIESZKALNEGO LUB DOMU JEDNORODZINNEGO ORAZ DEWELOPERSKIM FUNDUSZU GWARANCYJNYM</w:t>
            </w:r>
          </w:p>
        </w:tc>
      </w:tr>
      <w:tr w:rsidR="009275CA" w:rsidRPr="00015907" w14:paraId="7558C90B"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8"/>
        </w:trPr>
        <w:tc>
          <w:tcPr>
            <w:tcW w:w="3236"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7055B1E2" w14:textId="77777777" w:rsidR="009275CA" w:rsidRPr="009505BB" w:rsidRDefault="009275CA" w:rsidP="009275CA">
            <w:pPr>
              <w:spacing w:before="20" w:after="10" w:line="260" w:lineRule="exact"/>
              <w:ind w:left="57" w:right="-57"/>
            </w:pPr>
            <w:r w:rsidRPr="002F2658">
              <w:t xml:space="preserve">Warunki, na jakich można odstąpić </w:t>
            </w:r>
            <w:r>
              <w:br/>
            </w:r>
            <w:r w:rsidRPr="002F2658">
              <w:t xml:space="preserve">od umowy deweloperskiej lub jednej </w:t>
            </w:r>
            <w:r>
              <w:br/>
            </w:r>
            <w:r w:rsidRPr="002F2658">
              <w:t>z umów, o których mowa w art. 2</w:t>
            </w:r>
            <w:r>
              <w:br/>
            </w:r>
            <w:r w:rsidRPr="002F2658">
              <w:t>ust. 1 pkt 2, 3 lub 5 ustawy z dnia</w:t>
            </w:r>
            <w:r>
              <w:br/>
            </w:r>
            <w:r w:rsidRPr="002F2658">
              <w:t>20 maja 2021 r. o ochronie praw nabywcy lokalu mieszkalnego</w:t>
            </w:r>
            <w:r>
              <w:br/>
            </w:r>
            <w:r w:rsidRPr="002F2658">
              <w:t>lub domu jednorodzinnego</w:t>
            </w:r>
            <w:r>
              <w:br/>
            </w:r>
            <w:r w:rsidRPr="002F2658">
              <w:t>oraz Deweloperskim Funduszu Gwarancyjnym</w:t>
            </w:r>
          </w:p>
        </w:tc>
        <w:tc>
          <w:tcPr>
            <w:tcW w:w="6976" w:type="dxa"/>
            <w:gridSpan w:val="2"/>
            <w:tcBorders>
              <w:top w:val="single" w:sz="6" w:space="0" w:color="auto"/>
              <w:left w:val="single" w:sz="6" w:space="0" w:color="auto"/>
              <w:bottom w:val="single" w:sz="6" w:space="0" w:color="auto"/>
              <w:right w:val="single" w:sz="12" w:space="0" w:color="auto"/>
            </w:tcBorders>
            <w:shd w:val="clear" w:color="auto" w:fill="FFFFFF"/>
          </w:tcPr>
          <w:p w14:paraId="5B39EF36" w14:textId="483EBAA5" w:rsidR="00790CB8" w:rsidRDefault="00790CB8" w:rsidP="00790CB8">
            <w:pPr>
              <w:shd w:val="clear" w:color="auto" w:fill="FFFFFF"/>
              <w:spacing w:before="30" w:line="270" w:lineRule="exact"/>
            </w:pPr>
          </w:p>
          <w:p w14:paraId="651B8548" w14:textId="1B9116A5" w:rsidR="005C6654" w:rsidRPr="005C6654" w:rsidRDefault="005C6654" w:rsidP="005C6654">
            <w:pPr>
              <w:suppressAutoHyphens/>
              <w:spacing w:line="360" w:lineRule="auto"/>
              <w:jc w:val="both"/>
              <w:textAlignment w:val="baseline"/>
              <w:rPr>
                <w:rFonts w:ascii="Georgia" w:hAnsi="Georgia"/>
                <w:lang w:eastAsia="zh-CN" w:bidi="hi-IN"/>
              </w:rPr>
            </w:pPr>
          </w:p>
          <w:p w14:paraId="487A1E0C" w14:textId="77777777" w:rsidR="005C6654" w:rsidRPr="00193CBE" w:rsidRDefault="005C6654" w:rsidP="005C6654">
            <w:pPr>
              <w:tabs>
                <w:tab w:val="left" w:pos="709"/>
                <w:tab w:val="left" w:pos="9356"/>
              </w:tabs>
              <w:spacing w:line="360" w:lineRule="auto"/>
              <w:ind w:firstLine="720"/>
              <w:jc w:val="center"/>
              <w:rPr>
                <w:rFonts w:ascii="Georgia" w:hAnsi="Georgia"/>
              </w:rPr>
            </w:pPr>
            <w:r w:rsidRPr="00193CBE">
              <w:rPr>
                <w:rFonts w:ascii="Georgia" w:hAnsi="Georgia"/>
              </w:rPr>
              <w:t>[Odstąpienie od umowy]</w:t>
            </w:r>
          </w:p>
          <w:p w14:paraId="0FDF8A41" w14:textId="77777777" w:rsidR="005C6654" w:rsidRPr="00193CBE" w:rsidRDefault="005C6654" w:rsidP="005C6654">
            <w:pPr>
              <w:numPr>
                <w:ilvl w:val="0"/>
                <w:numId w:val="7"/>
              </w:numPr>
              <w:tabs>
                <w:tab w:val="right" w:pos="709"/>
              </w:tabs>
              <w:suppressAutoHyphens/>
              <w:spacing w:line="360" w:lineRule="auto"/>
              <w:ind w:left="0" w:firstLine="720"/>
              <w:jc w:val="both"/>
              <w:textAlignment w:val="baseline"/>
              <w:rPr>
                <w:rFonts w:ascii="Georgia" w:hAnsi="Georgia"/>
              </w:rPr>
            </w:pPr>
            <w:r w:rsidRPr="00193CBE">
              <w:rPr>
                <w:rFonts w:ascii="Georgia" w:hAnsi="Georgia"/>
              </w:rPr>
              <w:t>Nabywca może odstąpić od niniejszej umowy w przypadkach wskazanych w art. 43 Ustawy deweloperskiej, to jest, jeżeli:----------------------------------------------------------------------------</w:t>
            </w:r>
          </w:p>
          <w:p w14:paraId="0DC79591"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umowa deweloperska nie zawiera elementów, o których mowa w art. 35 lub 36 Ustawy deweloperskiej,-----------------------------------------------------------------------------------------------------</w:t>
            </w:r>
          </w:p>
          <w:p w14:paraId="3CC186C3"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informacje zawarte w umowie deweloperskiej nie są zgodne z informacjami zawartymi w Prospekcie informacyjnym lub w załącznikach do niego, za wyjątkiem zmian, o których mowa w art. 35 ust. 2 Ustawy deweloperskiej,---------------------------------------------------------------------------------</w:t>
            </w:r>
          </w:p>
          <w:p w14:paraId="675BAB52"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eastAsia="Arial" w:hAnsi="Georgia"/>
              </w:rPr>
              <w:t>Deweloper nie doręczył Nabywcy zgodnie z art. 21 i art. 22 Ustawy Prospektu informacyjnego wraz  z załącznikami lub informacji o zmianie danych lub informacji zawartych w prospekcie informacyjnym lub jego załącznikach,--------------------------------------------------------------</w:t>
            </w:r>
          </w:p>
          <w:p w14:paraId="42C869BE"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informacje zawarte w Prospekcie informacyjnym lub w załącznikach do niego, na podstawie których zawarto umowę deweloperską, są niezgodne ze stanem faktycznym i prawnym w dniu podpisania umowy deweloperskiej,------------------------------------------------------------------------</w:t>
            </w:r>
          </w:p>
          <w:p w14:paraId="1D8D68A8"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Prospekt informacyjny, na podstawie którego zawarto umowę deweloperską, nie zawiera informacji określonych we wzorze prospektu informacyjnego stanowiącego załącznik do Ustawy deweloperskiej;--------------------------------------------------------------------------------------------</w:t>
            </w:r>
          </w:p>
          <w:p w14:paraId="54F4A536"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Deweloper nie przeniósł na Nabywcę prawa własności Lokalu w terminie określonym w umowie deweloperskiej,-----------------------------------------------------------------------------------------</w:t>
            </w:r>
          </w:p>
          <w:p w14:paraId="4872DA97"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lastRenderedPageBreak/>
              <w:t>Deweloper nie zawrze umowy mieszkaniowego rachunku powierniczego z innym bankiem w trybie i terminie, o których mowa w art. 10 ust. 1 Ustawy deweloperskiej,---------------------</w:t>
            </w:r>
          </w:p>
          <w:p w14:paraId="7938A1C0"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Deweloper nie posiada zgody wierzyciela hipotecznego lub zobowiązania do jej udzielenia, o których mowa w art. 25 ust. 1 pkt 1 lub 2 Ustawy deweloperskiej,----------------------------</w:t>
            </w:r>
          </w:p>
          <w:p w14:paraId="0CA24D39"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w przypadku niewykonania przez Dewelopera obowiązku, o którym mowa w art. 12 ust. 2 Ustawy deweloperskiej, w terminie określonym w tym przepisie,-------------------------------------</w:t>
            </w:r>
          </w:p>
          <w:p w14:paraId="49792A98"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w przypadku nieusunięcia przez Dewelopera wady istotnej lokalu mieszkalnego albo domu jednorodzinnego na zasadach określonych w art. 41 ust. 11 Ustawy deweloperskiej,---------------</w:t>
            </w:r>
          </w:p>
          <w:p w14:paraId="4863ED79"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w przypadku stwierdzenia przez rzeczoznawcę istnienia wady istotnej, o którym mowa w art. 41 ust. 15 Ustawy deweloperskiej,------------------------------------------------------------------------</w:t>
            </w:r>
          </w:p>
          <w:p w14:paraId="3C9A1625"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jeżeli syndyk zażądał wykonania umowy na podstawie art. 98 ustawy z dnia 28 lutego 2003 r. – Prawo upadłościowe.----------------------------------------------------------------------------------</w:t>
            </w:r>
          </w:p>
          <w:p w14:paraId="7E506573"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W przypadkach, o których mowa w ust. 1 pkt 1-5 powyżej, Nabywca ma prawo odstąpienia od niniejszej umowy w terminie 30 (trzydziestu) dni od dnia jej zawarcia.-------------------</w:t>
            </w:r>
          </w:p>
          <w:p w14:paraId="6D50EF13"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W przypadku, o którym mowa w ust. 1 pkt 6 powyżej, przed skorzystaniem z prawa do odstąpienia od niniejszej Umowy Nabywca wyznacza Deweloperowi 120-dniowy termin na przeniesienie prawa własności Lokalu, a w razie bezskutecznego upływu wyznaczonego terminu będzie uprawniony do odstąpienia od tej umowy.----------------------------------------------------------------------</w:t>
            </w:r>
          </w:p>
          <w:p w14:paraId="54F0A74F"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W przypadku, o którym mowa w ust. 1 pkt 7 powyżej, Nabywca ma prawo odstąpienia od niniejszej umowy deweloperskiej, po dokonaniu przez bank zwrotu środków zgodnie z art. 10 ust. 3 Ustawy deweloperskiej.-------------------------------------------------------------------------------------------</w:t>
            </w:r>
          </w:p>
          <w:p w14:paraId="2F4F61D5"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W przypadku, o którym mowa w ust. 1 pkt 8 powyżej, Nabywca ma prawo odstąpienia od niniejszej umowy, w terminie 60 dni od dnia jej zawarcia.------------------------------------------------</w:t>
            </w:r>
          </w:p>
          <w:p w14:paraId="136903F2"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W przypadku, o którym mowa w ust. 1 pkt 9 powyżej, Nabywca ma prawo odstąpienia od niniejszej umowy deweloperskiej po upływie 60 dni od dnia podania do publicznej wiadomości informacji, o których mowa w art. 12 ust. 1 Ustawy deweloperskiej.-----------------------------------------</w:t>
            </w:r>
          </w:p>
          <w:p w14:paraId="3EC90D0B"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 xml:space="preserve">Nabywca może odstąpić od niniejszej umowy w przypadku wskazanym w § </w:t>
            </w:r>
            <w:r>
              <w:rPr>
                <w:rFonts w:ascii="Georgia" w:hAnsi="Georgia"/>
              </w:rPr>
              <w:t>6</w:t>
            </w:r>
            <w:r w:rsidRPr="00193CBE">
              <w:rPr>
                <w:rFonts w:ascii="Georgia" w:hAnsi="Georgia"/>
              </w:rPr>
              <w:t xml:space="preserve"> ust. </w:t>
            </w:r>
            <w:r>
              <w:rPr>
                <w:rFonts w:ascii="Georgia" w:hAnsi="Georgia"/>
              </w:rPr>
              <w:t>2</w:t>
            </w:r>
            <w:r w:rsidRPr="00193CBE">
              <w:rPr>
                <w:rFonts w:ascii="Georgia" w:hAnsi="Georgia"/>
              </w:rPr>
              <w:t xml:space="preserve">, tj.  gdy powykonawcza Powierzchnia Łączna Lokalu będzie różnić się od projektowanej Powierzchni Łącznej Lokalu, wskazanej w § 2 ust. </w:t>
            </w:r>
            <w:r>
              <w:rPr>
                <w:rFonts w:ascii="Georgia" w:hAnsi="Georgia"/>
              </w:rPr>
              <w:t>2</w:t>
            </w:r>
            <w:r w:rsidRPr="00193CBE">
              <w:rPr>
                <w:rFonts w:ascii="Georgia" w:hAnsi="Georgia"/>
              </w:rPr>
              <w:t xml:space="preserve"> niniejszej Umowy, Nabywca ma prawo odstąpić od niniejszej umowy w ciągu 14 (czternastu) dni od dnia doręczenia mu zawiadomienia o terminie </w:t>
            </w:r>
            <w:r w:rsidRPr="00193CBE">
              <w:rPr>
                <w:rFonts w:ascii="Georgia" w:hAnsi="Georgia"/>
              </w:rPr>
              <w:lastRenderedPageBreak/>
              <w:t>odbioru Lokalu wraz z informacją o końcowym rozliczeniu Stron.--------------------------------------------------------------</w:t>
            </w:r>
          </w:p>
          <w:p w14:paraId="42062654"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 xml:space="preserve">Nabywca może odstąpić od niniejszej umowy w przypadku wskazanym w § </w:t>
            </w:r>
            <w:r>
              <w:rPr>
                <w:rFonts w:ascii="Georgia" w:hAnsi="Georgia"/>
              </w:rPr>
              <w:t>5</w:t>
            </w:r>
            <w:r w:rsidRPr="00193CBE">
              <w:rPr>
                <w:rFonts w:ascii="Georgia" w:hAnsi="Georgia"/>
              </w:rPr>
              <w:t xml:space="preserve"> ust. </w:t>
            </w:r>
            <w:r>
              <w:rPr>
                <w:rFonts w:ascii="Georgia" w:hAnsi="Georgia"/>
              </w:rPr>
              <w:t>8</w:t>
            </w:r>
            <w:r w:rsidRPr="00193CBE">
              <w:rPr>
                <w:rFonts w:ascii="Georgia" w:hAnsi="Georgia"/>
              </w:rPr>
              <w:t xml:space="preserve">, tj.   zmiany stawki VAT, o ile spowoduje wzrost ceny </w:t>
            </w:r>
            <w:r w:rsidRPr="00A42375">
              <w:rPr>
                <w:rFonts w:ascii="Georgia" w:hAnsi="Georgia"/>
              </w:rPr>
              <w:t>Lokalu określonej w § 5 ust. 1 niniejszej</w:t>
            </w:r>
            <w:r w:rsidRPr="00193CBE">
              <w:rPr>
                <w:rFonts w:ascii="Georgia" w:hAnsi="Georgia"/>
              </w:rPr>
              <w:t xml:space="preserve"> Umowy. Nabywca ma prawo odstąpić od niniejszej umowy w ciągu 14 (czternastu) dni od dnia doręczenia mu zawiadomienia o terminie odbioru Lokalu wraz z informacją o końcowym rozliczeniu Stron.------------</w:t>
            </w:r>
          </w:p>
          <w:p w14:paraId="00F93B5D"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Deweloper może odstąpić od niniejszej umowy w przypadkach wskazanych w art. 43 ust. 7 i 8 Ustawy deweloperskiej, to jest:------------------------------------------------------------------------</w:t>
            </w:r>
          </w:p>
          <w:p w14:paraId="7466FFE7"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w przypadku niespełnienia przez Nabywcę świadczenia pieniężnego w terminie lub wysokości określonej w umowie deweloperskiej, mimo wezwania Nabywcy w formie pisemnej do uiszczenia zaległych kwot w terminie 30 (trzydziestu) dni od dnia doręczenia wezwania, chyba że niespełnienie przez Nabywcę świadczenia pieniężnego jest spowodowane działaniem siły wyższej,-----</w:t>
            </w:r>
          </w:p>
          <w:p w14:paraId="2E7425B3"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w przypadku niestawienia się Nabywcy do odbioru Lokalu lub podpisania umowy przenoszącej na Nabywcę prawo własności Lokalu, pomimo dwukrotnego doręczenia wezwania w formie pisemnej w odstępie co najmniej 60 (sześćdziesięciu) dni, chyba że niestawienie się Nabywcy jest spowodowane działaniem siły wyższej.---------------------------------------------------------------------</w:t>
            </w:r>
          </w:p>
          <w:p w14:paraId="38D70EE2"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Oświadczenie woli Nabywcy o odstąpieniu od niniejszej umowy w którymkolwiek z przypadków określonych w niniejszym akcie wymaga zachowania formy pisemnej z podpisami notarialnie poświadczonymi pod rygorem nieważności oraz jest skuteczne tylko wtedy, gdy zawiera zgodę na wykreślenie z księgi wieczystej prowadzonej dla Nieruchomości roszczenia o przeniesienie prawa własności Lokalu, wyrażoną w formie pisemnej z podpisami notarialnie poświadczonymi.-------</w:t>
            </w:r>
          </w:p>
          <w:p w14:paraId="2D62B930"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W przypadku odstąpienia od niniejszej umowy przez Dewelopera, Nabywca zobowiązany jest wyrazić zgodę na wykreślenie ww. roszczenia z księgi wieczystej oraz dostarczyć ją Deweloperowi w formie pisemnej z podpisami notarialnie poświadczonymi w terminie 14 (czternastu) dni od dnia otrzymania oświadczenia o odstąpieniu od umowy. ---------------------------------------------</w:t>
            </w:r>
          </w:p>
          <w:p w14:paraId="3F672C0C" w14:textId="77777777" w:rsidR="005C6654" w:rsidRPr="00193CBE" w:rsidRDefault="005C6654" w:rsidP="005C6654">
            <w:pPr>
              <w:numPr>
                <w:ilvl w:val="0"/>
                <w:numId w:val="7"/>
              </w:numPr>
              <w:suppressAutoHyphens/>
              <w:spacing w:line="360" w:lineRule="auto"/>
              <w:ind w:left="0" w:firstLine="720"/>
              <w:jc w:val="both"/>
              <w:textAlignment w:val="baseline"/>
              <w:rPr>
                <w:rFonts w:ascii="Georgia" w:hAnsi="Georgia"/>
              </w:rPr>
            </w:pPr>
            <w:r w:rsidRPr="00193CBE">
              <w:rPr>
                <w:rFonts w:ascii="Georgia" w:hAnsi="Georgia"/>
              </w:rPr>
              <w:t>Odstąpienie od niniejszej umowy przez którąkolwiek ze Stron oznaczać będzie, że niniejsza umowa deweloperska uważana będzie za niezawartą, a środki wpłacone przez Nabywcę na poczet ceny za Lokal podlegać będą zwrotowi na jego rzecz w nominalnej wysokości na następujących warunkach: ---------------------------------------------------------------------------------------------------------</w:t>
            </w:r>
          </w:p>
          <w:p w14:paraId="74119861"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 xml:space="preserve">kwota pozostająca na mieszkaniowym rachunku powierniczym zostanie zwrócona Nabywcy przez Bank prowadzący tenże rachunek </w:t>
            </w:r>
            <w:r w:rsidRPr="00193CBE">
              <w:rPr>
                <w:rFonts w:ascii="Georgia" w:hAnsi="Georgia"/>
              </w:rPr>
              <w:lastRenderedPageBreak/>
              <w:t>niezwłocznie, zgodnie z postanowieniami powołanej powyżej umowy otwartego mieszkaniowego rachunku powierniczego,--------------------------------------</w:t>
            </w:r>
          </w:p>
          <w:p w14:paraId="620FC124"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w przypadku odstąpienia od niniejszej umowy przez Nabywcę, kwota wypłacona z mieszkaniowego rachunku powierniczego Deweloperowi zostanie zwrócona Nabywcy przez Dewelopera w terminie 30 (trzydziestu) dni od dnia doręczenia przez Nabywcę Deweloperowi, wskazanego w ust. 10 powyżej, oświadczenia o odstąpieniu od umowy, zawierającego w treści podstawę odstąpienia oraz zgodę na wykreślenie z księgi wieczystej prowadzonej dla Nieruchomości roszczenia o przeniesienie własności Lokalu,--------------------------------------------------------------------------------</w:t>
            </w:r>
          </w:p>
          <w:p w14:paraId="11715E51" w14:textId="77777777" w:rsidR="005C6654" w:rsidRPr="00193CBE" w:rsidRDefault="005C6654" w:rsidP="005C6654">
            <w:pPr>
              <w:numPr>
                <w:ilvl w:val="1"/>
                <w:numId w:val="7"/>
              </w:numPr>
              <w:suppressAutoHyphens/>
              <w:spacing w:line="360" w:lineRule="auto"/>
              <w:ind w:left="0" w:firstLine="720"/>
              <w:jc w:val="both"/>
              <w:textAlignment w:val="baseline"/>
              <w:rPr>
                <w:rFonts w:ascii="Georgia" w:hAnsi="Georgia"/>
              </w:rPr>
            </w:pPr>
            <w:r w:rsidRPr="00193CBE">
              <w:rPr>
                <w:rFonts w:ascii="Georgia" w:hAnsi="Georgia"/>
              </w:rPr>
              <w:t>w przypadku odstąpienia od niniejszej umowy przez Dewelopera, kwota wypłacona z mieszkaniowego rachunku powierniczego Deweloperowi zostanie zwrócona Nabywcy przez Dewelopera w terminie 14 (czternastu)  dni od dnia doręczenia przez Nabywcę Deweloperowi, wskazanego w ust. 11 powyżej, oświadczenia o wyrażeniu zgody na wykreślenie z księgi wieczystej prowadzonej dla Nieruchomości roszczenia o przeniesienie własności Lokalu (lub jeszcze nieujawnionego roszczenia, ale co do którego wniosek o jego ujawnienie został złożony w sądzie).</w:t>
            </w:r>
            <w:bookmarkStart w:id="6" w:name="bookmark=id.2xcytpi" w:colFirst="0" w:colLast="0"/>
            <w:bookmarkEnd w:id="6"/>
            <w:r w:rsidRPr="00193CBE">
              <w:rPr>
                <w:rFonts w:ascii="Georgia" w:hAnsi="Georgia"/>
              </w:rPr>
              <w:t>------</w:t>
            </w:r>
          </w:p>
          <w:p w14:paraId="555BA2EF" w14:textId="57A60C34" w:rsidR="005C6654" w:rsidRPr="005C6654" w:rsidRDefault="005C6654" w:rsidP="005C6654">
            <w:pPr>
              <w:suppressAutoHyphens/>
              <w:spacing w:line="360" w:lineRule="auto"/>
              <w:jc w:val="both"/>
              <w:textAlignment w:val="baseline"/>
              <w:rPr>
                <w:rFonts w:ascii="Georgia" w:hAnsi="Georgia"/>
                <w:lang w:eastAsia="zh-CN" w:bidi="hi-IN"/>
              </w:rPr>
            </w:pPr>
          </w:p>
          <w:p w14:paraId="698AAAC7" w14:textId="74FDA322" w:rsidR="005C6654" w:rsidRPr="005C6654" w:rsidRDefault="005C6654" w:rsidP="005C6654">
            <w:pPr>
              <w:suppressAutoHyphens/>
              <w:spacing w:line="360" w:lineRule="auto"/>
              <w:jc w:val="both"/>
              <w:textAlignment w:val="baseline"/>
              <w:rPr>
                <w:rFonts w:ascii="Georgia" w:hAnsi="Georgia"/>
                <w:lang w:eastAsia="zh-CN" w:bidi="hi-IN"/>
              </w:rPr>
            </w:pPr>
          </w:p>
          <w:p w14:paraId="1B3F733E" w14:textId="07EFBFAF" w:rsidR="005C6654" w:rsidRPr="00D52096" w:rsidRDefault="005C6654" w:rsidP="005C6654">
            <w:pPr>
              <w:suppressAutoHyphens/>
              <w:spacing w:line="360" w:lineRule="auto"/>
              <w:jc w:val="both"/>
              <w:textAlignment w:val="baseline"/>
              <w:rPr>
                <w:rFonts w:ascii="Georgia" w:hAnsi="Georgia"/>
                <w:lang w:eastAsia="zh-CN" w:bidi="hi-IN"/>
              </w:rPr>
            </w:pPr>
          </w:p>
          <w:p w14:paraId="631863EE" w14:textId="641E6AF2" w:rsidR="00D52096" w:rsidRPr="00D52096" w:rsidRDefault="00D52096" w:rsidP="00D52096">
            <w:pPr>
              <w:widowControl w:val="0"/>
              <w:suppressAutoHyphens/>
              <w:spacing w:line="360" w:lineRule="auto"/>
              <w:jc w:val="both"/>
              <w:textAlignment w:val="baseline"/>
              <w:rPr>
                <w:rFonts w:ascii="Georgia" w:hAnsi="Georgia"/>
                <w:lang w:eastAsia="zh-CN" w:bidi="hi-IN"/>
              </w:rPr>
            </w:pPr>
          </w:p>
          <w:p w14:paraId="335CAE14" w14:textId="77777777" w:rsidR="00D52096" w:rsidRPr="00D52096" w:rsidRDefault="00D52096" w:rsidP="00D52096">
            <w:pPr>
              <w:suppressAutoHyphens/>
              <w:spacing w:line="360" w:lineRule="auto"/>
              <w:jc w:val="both"/>
              <w:textAlignment w:val="baseline"/>
              <w:rPr>
                <w:rFonts w:ascii="Georgia" w:hAnsi="Georgia"/>
                <w:lang w:eastAsia="zh-CN" w:bidi="hi-IN"/>
              </w:rPr>
            </w:pPr>
          </w:p>
          <w:p w14:paraId="5E50163E" w14:textId="53405518" w:rsidR="00D52096" w:rsidRPr="00D52096" w:rsidRDefault="00D52096" w:rsidP="00D52096">
            <w:pPr>
              <w:suppressAutoHyphens/>
              <w:spacing w:line="360" w:lineRule="auto"/>
              <w:jc w:val="both"/>
              <w:textAlignment w:val="baseline"/>
              <w:rPr>
                <w:rFonts w:ascii="Georgia" w:hAnsi="Georgia"/>
                <w:lang w:eastAsia="zh-CN" w:bidi="hi-IN"/>
              </w:rPr>
            </w:pPr>
          </w:p>
          <w:p w14:paraId="229626BC" w14:textId="330D0495" w:rsidR="00D52096" w:rsidRPr="00C4589E" w:rsidRDefault="00D52096" w:rsidP="00790CB8">
            <w:pPr>
              <w:shd w:val="clear" w:color="auto" w:fill="FFFFFF"/>
              <w:spacing w:before="30" w:line="270" w:lineRule="exact"/>
              <w:rPr>
                <w:rFonts w:ascii="Arial" w:hAnsi="Arial" w:cs="Arial"/>
                <w:b/>
                <w:sz w:val="22"/>
                <w:szCs w:val="22"/>
              </w:rPr>
            </w:pPr>
          </w:p>
        </w:tc>
      </w:tr>
      <w:tr w:rsidR="009275CA" w:rsidRPr="008F2834" w14:paraId="4198BBB0"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10212"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6A25A786" w14:textId="73CA4E3E" w:rsidR="009275CA" w:rsidRPr="008F2834" w:rsidRDefault="009275CA" w:rsidP="009275CA">
            <w:pPr>
              <w:spacing w:before="120" w:after="10" w:line="260" w:lineRule="exact"/>
              <w:ind w:left="57" w:right="137"/>
              <w:jc w:val="both"/>
              <w:rPr>
                <w:b/>
                <w:bCs/>
              </w:rPr>
            </w:pPr>
            <w:r w:rsidRPr="008F2834">
              <w:rPr>
                <w:b/>
                <w:bCs/>
              </w:rPr>
              <w:lastRenderedPageBreak/>
              <w:t>INNE INFORMACJE</w:t>
            </w:r>
            <w:r w:rsidRPr="007E693B">
              <w:rPr>
                <w:rStyle w:val="Odwoanieprzypisudolnego"/>
              </w:rPr>
              <w:footnoteReference w:customMarkFollows="1" w:id="11"/>
              <w:t>44</w:t>
            </w:r>
            <w:r w:rsidRPr="007E693B">
              <w:rPr>
                <w:vertAlign w:val="superscript"/>
              </w:rPr>
              <w:t>)</w:t>
            </w:r>
          </w:p>
        </w:tc>
      </w:tr>
      <w:tr w:rsidR="009275CA" w:rsidRPr="00015907" w14:paraId="2D71095D"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rPr>
        <w:tc>
          <w:tcPr>
            <w:tcW w:w="10212" w:type="dxa"/>
            <w:gridSpan w:val="4"/>
            <w:tcBorders>
              <w:top w:val="single" w:sz="6" w:space="0" w:color="auto"/>
              <w:left w:val="single" w:sz="12" w:space="0" w:color="auto"/>
              <w:right w:val="single" w:sz="12" w:space="0" w:color="auto"/>
            </w:tcBorders>
            <w:shd w:val="clear" w:color="auto" w:fill="F2F2F2" w:themeFill="background1" w:themeFillShade="F2"/>
          </w:tcPr>
          <w:p w14:paraId="1B651A05" w14:textId="77777777" w:rsidR="009275CA" w:rsidRDefault="009275CA" w:rsidP="009275CA">
            <w:pPr>
              <w:pStyle w:val="Default"/>
              <w:spacing w:before="120" w:line="260" w:lineRule="exact"/>
              <w:ind w:left="57"/>
              <w:rPr>
                <w:sz w:val="20"/>
                <w:szCs w:val="20"/>
              </w:rPr>
            </w:pPr>
            <w:r>
              <w:rPr>
                <w:sz w:val="20"/>
                <w:szCs w:val="20"/>
              </w:rPr>
              <w:t xml:space="preserve">I. Informacja o: </w:t>
            </w:r>
          </w:p>
          <w:p w14:paraId="10A3E572" w14:textId="5D3BB6A7" w:rsidR="009275CA" w:rsidRDefault="009275CA" w:rsidP="009275CA">
            <w:pPr>
              <w:spacing w:before="120" w:line="260" w:lineRule="exact"/>
              <w:ind w:left="346" w:right="113" w:hanging="289"/>
              <w:jc w:val="both"/>
            </w:pPr>
            <w:r>
              <w:t>1)</w:t>
            </w:r>
            <w:r>
              <w:tab/>
              <w:t xml:space="preserve">o zgodzie banku, kasy lub innego wierzyciela hipotecznego na </w:t>
            </w:r>
            <w:r w:rsidR="00F45FF7">
              <w:t>bez obciążeniowe</w:t>
            </w:r>
            <w: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r w:rsidR="00F45FF7">
              <w:t>bez obciążeniowe</w:t>
            </w:r>
            <w: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7AA5FFA8" w14:textId="512A7035" w:rsidR="009275CA" w:rsidRDefault="009275CA" w:rsidP="009275CA">
            <w:pPr>
              <w:spacing w:before="120" w:line="260" w:lineRule="exact"/>
              <w:ind w:left="346" w:right="113" w:hanging="289"/>
              <w:jc w:val="both"/>
            </w:pPr>
            <w:r w:rsidRPr="00780BFE">
              <w:t>2)</w:t>
            </w:r>
            <w:r>
              <w:tab/>
              <w:t xml:space="preserve">w przypadku umów, o których mowa w art. 2 ust. 2 ustawy z dnia 20 maja 2021 r. o ochronie praw nabywcy lokalu mieszkalnego lub domu jednorodzinnego oraz Deweloperskim Funduszu Gwarancyjnym – o zgodzie banku, kasy lub innego wierzyciela hipotecznego na </w:t>
            </w:r>
            <w:r w:rsidR="00F45FF7">
              <w:t>bez obciążeniowe</w:t>
            </w:r>
            <w:r>
              <w:t xml:space="preserve"> przeniesienie własności lokalu użytkowego na nabywcę po wpłacie pełnej ceny przez nabywcę lub zobowiązaniu do udzielenia takiej zgody, jeżeli takie obciążenie istnieje, albo zgodzie banku, kasy lub innego wierzyciela hipotecznego na </w:t>
            </w:r>
            <w:r w:rsidR="00F45FF7">
              <w:t>bez obciążeniowe</w:t>
            </w:r>
            <w:r>
              <w:t xml:space="preserve"> przeniesienie na nabywcę ułamkowej części własności lokalu użytkowego po wpłacie pełnej ceny przez nabywcę lub zobowiązaniu do udzielenia takiej zgody, jeżeli takie obciążenie istnieje</w:t>
            </w:r>
            <w:r w:rsidRPr="00780BFE">
              <w:t>.</w:t>
            </w:r>
          </w:p>
          <w:p w14:paraId="4D4DC78B" w14:textId="77777777" w:rsidR="009275CA" w:rsidRDefault="009275CA" w:rsidP="009275CA">
            <w:pPr>
              <w:pStyle w:val="Default"/>
              <w:spacing w:before="120" w:line="260" w:lineRule="exact"/>
              <w:ind w:left="312" w:right="113" w:hanging="255"/>
              <w:jc w:val="both"/>
              <w:rPr>
                <w:sz w:val="20"/>
                <w:szCs w:val="20"/>
              </w:rPr>
            </w:pPr>
            <w:r>
              <w:rPr>
                <w:sz w:val="20"/>
                <w:szCs w:val="20"/>
              </w:rPr>
              <w:t xml:space="preserve">II. </w:t>
            </w:r>
            <w:r w:rsidRPr="000B61C9">
              <w:rPr>
                <w:sz w:val="20"/>
                <w:szCs w:val="20"/>
              </w:rPr>
              <w:t>Informacja o możliwości zapoznania się w lokalu przedsiębiorstwa przez osobę zainteresowaną zawarciem umowy</w:t>
            </w:r>
            <w:r>
              <w:rPr>
                <w:sz w:val="20"/>
                <w:szCs w:val="20"/>
              </w:rPr>
              <w:t xml:space="preserve"> </w:t>
            </w:r>
            <w:r w:rsidRPr="000B61C9">
              <w:rPr>
                <w:sz w:val="20"/>
                <w:szCs w:val="20"/>
              </w:rPr>
              <w:t>odpowiednio do zakresu umowy z</w:t>
            </w:r>
            <w:r>
              <w:rPr>
                <w:sz w:val="20"/>
                <w:szCs w:val="20"/>
              </w:rPr>
              <w:t xml:space="preserve">:  </w:t>
            </w:r>
          </w:p>
          <w:p w14:paraId="3BECEE8C" w14:textId="77777777" w:rsidR="009275CA" w:rsidRDefault="009275CA" w:rsidP="009275CA">
            <w:pPr>
              <w:numPr>
                <w:ilvl w:val="0"/>
                <w:numId w:val="1"/>
              </w:numPr>
              <w:spacing w:before="120" w:line="260" w:lineRule="exact"/>
              <w:ind w:right="113"/>
              <w:jc w:val="both"/>
            </w:pPr>
            <w:r>
              <w:t xml:space="preserve">aktualnym stanem księgi wieczystej prowadzonej dla nieruchomości; </w:t>
            </w:r>
          </w:p>
          <w:p w14:paraId="0B883C8A" w14:textId="77777777" w:rsidR="009275CA" w:rsidRDefault="009275CA" w:rsidP="009275CA">
            <w:pPr>
              <w:numPr>
                <w:ilvl w:val="0"/>
                <w:numId w:val="1"/>
              </w:numPr>
              <w:spacing w:before="60" w:line="240" w:lineRule="exact"/>
              <w:ind w:right="113"/>
              <w:jc w:val="both"/>
            </w:pPr>
            <w:r>
              <w:lastRenderedPageBreak/>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04873F25" w14:textId="77777777" w:rsidR="009275CA" w:rsidRDefault="009275CA" w:rsidP="009275CA">
            <w:pPr>
              <w:numPr>
                <w:ilvl w:val="0"/>
                <w:numId w:val="1"/>
              </w:numPr>
              <w:spacing w:before="60" w:line="240" w:lineRule="exact"/>
              <w:ind w:right="113"/>
              <w:jc w:val="both"/>
            </w:pPr>
            <w:r>
              <w:t>pozwoleniem na budowę albo zgłoszeniem budowy, o którym mowa w art. 29 ust. 1 pkt 1 ustawy z dnia 7 lipca 1994 r. – Prawo budowlane, do którego organ administracji architektoniczno-budowlanej nie wniósł sprzeciwu;</w:t>
            </w:r>
          </w:p>
          <w:p w14:paraId="538E2D15" w14:textId="77777777" w:rsidR="009275CA" w:rsidRDefault="009275CA" w:rsidP="009275CA">
            <w:pPr>
              <w:numPr>
                <w:ilvl w:val="0"/>
                <w:numId w:val="1"/>
              </w:numPr>
              <w:spacing w:before="60" w:line="240" w:lineRule="exact"/>
              <w:ind w:left="697" w:right="113" w:hanging="357"/>
              <w:jc w:val="both"/>
            </w:pPr>
            <w:r w:rsidRPr="002F2658">
              <w:t>sprawozdaniem finansowym dewelopera za ostatnie dwa lata, a w przypadku</w:t>
            </w:r>
            <w:r>
              <w:t>:</w:t>
            </w:r>
          </w:p>
          <w:p w14:paraId="106452C7" w14:textId="77777777" w:rsidR="009275CA" w:rsidRDefault="009275CA" w:rsidP="009275CA">
            <w:pPr>
              <w:numPr>
                <w:ilvl w:val="0"/>
                <w:numId w:val="2"/>
              </w:numPr>
              <w:spacing w:before="60" w:line="240" w:lineRule="exact"/>
              <w:ind w:left="1054" w:right="113" w:hanging="357"/>
              <w:jc w:val="both"/>
            </w:pPr>
            <w:r w:rsidRPr="002F2658">
              <w:t>prowadzenia działalności przez okres krótszy niż dwa lata – sprawozdaniem finansowym za okres ostatniego roku</w:t>
            </w:r>
            <w:r>
              <w:t>,</w:t>
            </w:r>
          </w:p>
          <w:p w14:paraId="73C84F17" w14:textId="77777777" w:rsidR="009275CA" w:rsidRDefault="009275CA" w:rsidP="009275CA">
            <w:pPr>
              <w:numPr>
                <w:ilvl w:val="0"/>
                <w:numId w:val="2"/>
              </w:numPr>
              <w:spacing w:before="60" w:line="240" w:lineRule="exact"/>
              <w:ind w:left="1054" w:right="113" w:hanging="357"/>
              <w:jc w:val="both"/>
            </w:pPr>
            <w:r w:rsidRPr="002F2658">
              <w:t>realizacji inwestycji przez spółkę celową – sprawozdaniem spółki dominującej oraz spółki celowej</w:t>
            </w:r>
            <w:r>
              <w:t>;</w:t>
            </w:r>
          </w:p>
          <w:p w14:paraId="668F2B66" w14:textId="77777777" w:rsidR="009275CA" w:rsidRDefault="009275CA" w:rsidP="009275CA">
            <w:pPr>
              <w:numPr>
                <w:ilvl w:val="0"/>
                <w:numId w:val="1"/>
              </w:numPr>
              <w:spacing w:before="60" w:line="240" w:lineRule="exact"/>
              <w:ind w:left="697" w:right="113" w:hanging="357"/>
              <w:jc w:val="both"/>
            </w:pPr>
            <w:r>
              <w:t>projektem budowlanym;</w:t>
            </w:r>
          </w:p>
          <w:p w14:paraId="1D80E69C" w14:textId="77777777" w:rsidR="009275CA" w:rsidRDefault="009275CA" w:rsidP="009275CA">
            <w:pPr>
              <w:numPr>
                <w:ilvl w:val="0"/>
                <w:numId w:val="1"/>
              </w:numPr>
              <w:spacing w:before="60" w:line="240" w:lineRule="exact"/>
              <w:ind w:left="697" w:right="113" w:hanging="357"/>
              <w:jc w:val="both"/>
            </w:pPr>
            <w:r w:rsidRPr="002F2658">
              <w:t>decyzją o pozwoleniu na użytkowanie budynku lub zawiadomieniem o zakończeniu budowy, do którego organ nadzoru budowlanego nie wniósł sprzeciwu</w:t>
            </w:r>
            <w:r>
              <w:t>;</w:t>
            </w:r>
          </w:p>
          <w:p w14:paraId="751BC07E" w14:textId="77777777" w:rsidR="009275CA" w:rsidRDefault="009275CA" w:rsidP="009275CA">
            <w:pPr>
              <w:numPr>
                <w:ilvl w:val="0"/>
                <w:numId w:val="1"/>
              </w:numPr>
              <w:spacing w:before="60" w:line="240" w:lineRule="exact"/>
              <w:ind w:left="697" w:right="113" w:hanging="357"/>
              <w:jc w:val="both"/>
            </w:pPr>
            <w:r>
              <w:t>zaświadczeniem o samodzielności lokalu;</w:t>
            </w:r>
          </w:p>
          <w:p w14:paraId="44B48919" w14:textId="77777777" w:rsidR="009275CA" w:rsidRDefault="009275CA" w:rsidP="009275CA">
            <w:pPr>
              <w:numPr>
                <w:ilvl w:val="0"/>
                <w:numId w:val="1"/>
              </w:numPr>
              <w:spacing w:before="60" w:line="240" w:lineRule="exact"/>
              <w:ind w:left="697" w:right="113" w:hanging="357"/>
              <w:jc w:val="both"/>
            </w:pPr>
            <w:r>
              <w:t>aktem ustanowienia odrębnej własności lokalu;</w:t>
            </w:r>
          </w:p>
          <w:p w14:paraId="5CFC7080" w14:textId="77777777" w:rsidR="009275CA" w:rsidRDefault="009275CA" w:rsidP="009275CA">
            <w:pPr>
              <w:numPr>
                <w:ilvl w:val="0"/>
                <w:numId w:val="1"/>
              </w:numPr>
              <w:spacing w:before="60" w:line="240" w:lineRule="exact"/>
              <w:ind w:left="697" w:right="113" w:hanging="357"/>
              <w:jc w:val="both"/>
            </w:pPr>
            <w:r w:rsidRPr="00FA3CDF">
              <w:t>dokumentem potwierdzającym:</w:t>
            </w:r>
          </w:p>
          <w:p w14:paraId="5B74D855" w14:textId="486952F2" w:rsidR="009275CA" w:rsidRDefault="009275CA" w:rsidP="009275CA">
            <w:pPr>
              <w:numPr>
                <w:ilvl w:val="0"/>
                <w:numId w:val="3"/>
              </w:numPr>
              <w:spacing w:before="60" w:line="240" w:lineRule="exact"/>
              <w:ind w:right="113"/>
              <w:jc w:val="both"/>
            </w:pPr>
            <w:r>
              <w:t xml:space="preserve">zgodę banku, kasy lub innego wierzyciela hipotecznego na </w:t>
            </w:r>
            <w:r w:rsidR="00F45FF7">
              <w:t>bez obciążeniowe</w:t>
            </w:r>
            <w: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r w:rsidR="00F45FF7">
              <w:t>bez obciążeniowe</w:t>
            </w:r>
            <w: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w:t>
            </w:r>
            <w:r>
              <w:br/>
              <w:t>z prawem do wyłącznego korzystania z części nieruchomości służącej zaspokajaniu potrzeb mieszkaniowych po wpłacie pełnej ceny przez nabywcę lub zobowiązanie do jej udzielenia, jeżeli takie obciążenie istnieje</w:t>
            </w:r>
            <w:r w:rsidRPr="00882A9B">
              <w:t>,</w:t>
            </w:r>
          </w:p>
          <w:p w14:paraId="2C9C1C0F" w14:textId="0BE55507" w:rsidR="009275CA" w:rsidRDefault="009275CA" w:rsidP="009275CA">
            <w:pPr>
              <w:numPr>
                <w:ilvl w:val="0"/>
                <w:numId w:val="3"/>
              </w:numPr>
              <w:spacing w:before="60" w:line="240" w:lineRule="exact"/>
              <w:ind w:right="113"/>
              <w:jc w:val="both"/>
            </w:pPr>
            <w:r>
              <w:t xml:space="preserve">w przypadku umów, o których mowa w art. 2 ust. 2 ustawy z dnia 20 maja 2021 r. o ochronie praw nabywcy lokalu mieszkalnego lub domu jednorodzinnego oraz Deweloperskim Funduszu Gwarancyjnym – zgodę banku, kasy lub innego wierzyciela hipotecznego na </w:t>
            </w:r>
            <w:r w:rsidR="00B563B0">
              <w:t>bez obciążeniowe</w:t>
            </w:r>
            <w:r>
              <w:t xml:space="preserv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w:t>
            </w:r>
            <w:r w:rsidRPr="00882A9B">
              <w:t>.</w:t>
            </w:r>
          </w:p>
          <w:p w14:paraId="7BED237E" w14:textId="77777777" w:rsidR="009275CA" w:rsidRDefault="009275CA" w:rsidP="009275CA">
            <w:pPr>
              <w:pStyle w:val="Default"/>
              <w:spacing w:before="120" w:line="260" w:lineRule="exact"/>
              <w:ind w:left="312" w:right="113" w:hanging="255"/>
              <w:jc w:val="both"/>
              <w:rPr>
                <w:sz w:val="20"/>
                <w:szCs w:val="20"/>
              </w:rPr>
            </w:pPr>
            <w:r>
              <w:rPr>
                <w:sz w:val="20"/>
                <w:szCs w:val="20"/>
              </w:rPr>
              <w:t xml:space="preserve">III. </w:t>
            </w:r>
            <w:r w:rsidRPr="00882A9B">
              <w:rPr>
                <w:sz w:val="20"/>
                <w:szCs w:val="20"/>
              </w:rPr>
              <w:t>Informacja:</w:t>
            </w:r>
          </w:p>
          <w:p w14:paraId="537793E1" w14:textId="11997880" w:rsidR="009275CA" w:rsidRPr="00882A9B" w:rsidRDefault="009275CA" w:rsidP="009275CA">
            <w:pPr>
              <w:pStyle w:val="Default"/>
              <w:spacing w:before="120" w:line="260" w:lineRule="exact"/>
              <w:ind w:left="57" w:right="113"/>
              <w:jc w:val="both"/>
              <w:rPr>
                <w:sz w:val="20"/>
                <w:szCs w:val="20"/>
              </w:rPr>
            </w:pPr>
            <w:r w:rsidRPr="00882A9B">
              <w:rPr>
                <w:sz w:val="20"/>
                <w:szCs w:val="20"/>
              </w:rPr>
              <w:t>Środki pieniężne zgromadzone w</w:t>
            </w:r>
            <w:r w:rsidR="00B563B0" w:rsidRPr="00B563B0">
              <w:rPr>
                <w:color w:val="auto"/>
                <w:sz w:val="20"/>
                <w:szCs w:val="20"/>
                <w:lang w:eastAsia="en-US"/>
              </w:rPr>
              <w:t xml:space="preserve"> Powszechna Kasa Oszczędności Bank Polski Spółka Akcyjna z siedzibą w Warszawie</w:t>
            </w:r>
            <w:r w:rsidRPr="00882A9B">
              <w:rPr>
                <w:sz w:val="20"/>
                <w:szCs w:val="20"/>
              </w:rPr>
              <w:t xml:space="preserve">, </w:t>
            </w:r>
            <w:r w:rsidR="00B563B0">
              <w:rPr>
                <w:sz w:val="20"/>
                <w:szCs w:val="20"/>
              </w:rPr>
              <w:t xml:space="preserve">prowadzącym </w:t>
            </w:r>
            <w:r w:rsidRPr="00B45E02">
              <w:rPr>
                <w:sz w:val="20"/>
                <w:szCs w:val="20"/>
              </w:rPr>
              <w:t>otwarty mieszkaniowy rachunek powierniczy albo zamknięty mieszkaniowy rachunek powierniczy,</w:t>
            </w:r>
            <w:r>
              <w:rPr>
                <w:sz w:val="20"/>
                <w:szCs w:val="20"/>
              </w:rPr>
              <w:t xml:space="preserve"> </w:t>
            </w:r>
            <w:r w:rsidRPr="00B45E02">
              <w:rPr>
                <w:sz w:val="20"/>
                <w:szCs w:val="20"/>
              </w:rPr>
              <w:t>są objęte ochroną obowiązkowego systemu gwarantowania depozytów na zasadach określonych w ustawie</w:t>
            </w:r>
            <w:r>
              <w:rPr>
                <w:sz w:val="20"/>
                <w:szCs w:val="20"/>
              </w:rPr>
              <w:t xml:space="preserve"> </w:t>
            </w:r>
            <w:r>
              <w:rPr>
                <w:sz w:val="20"/>
                <w:szCs w:val="20"/>
              </w:rPr>
              <w:br/>
            </w:r>
            <w:r w:rsidRPr="00B45E02">
              <w:rPr>
                <w:sz w:val="20"/>
                <w:szCs w:val="20"/>
              </w:rPr>
              <w:t>z dnia 10 czerwca 2016 r. o Bankowym Funduszu Gwarancyjnym, systemie gwarantowania depozytów oraz przymusowej</w:t>
            </w:r>
            <w:r>
              <w:rPr>
                <w:sz w:val="20"/>
                <w:szCs w:val="20"/>
              </w:rPr>
              <w:t xml:space="preserve"> </w:t>
            </w:r>
            <w:r w:rsidRPr="00B45E02">
              <w:rPr>
                <w:sz w:val="20"/>
                <w:szCs w:val="20"/>
              </w:rPr>
              <w:t>restrukturyzacji (</w:t>
            </w:r>
            <w:r w:rsidRPr="007E693B">
              <w:rPr>
                <w:sz w:val="20"/>
                <w:szCs w:val="20"/>
              </w:rPr>
              <w:t>Dz. U. z 2022 r. poz. 2253 oraz z 2023 r. poz. 825, 1705, 1784 i 1843</w:t>
            </w:r>
            <w:r w:rsidRPr="00B45E02">
              <w:rPr>
                <w:sz w:val="20"/>
                <w:szCs w:val="20"/>
              </w:rPr>
              <w:t>)</w:t>
            </w:r>
            <w:r w:rsidRPr="002F2658">
              <w:rPr>
                <w:sz w:val="20"/>
                <w:szCs w:val="20"/>
              </w:rPr>
              <w:t>.</w:t>
            </w:r>
          </w:p>
        </w:tc>
      </w:tr>
      <w:tr w:rsidR="009275CA" w:rsidRPr="00194B92" w14:paraId="638E7F6E"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3"/>
        </w:trPr>
        <w:tc>
          <w:tcPr>
            <w:tcW w:w="10212" w:type="dxa"/>
            <w:gridSpan w:val="4"/>
            <w:tcBorders>
              <w:left w:val="single" w:sz="12" w:space="0" w:color="auto"/>
              <w:right w:val="single" w:sz="12" w:space="0" w:color="auto"/>
            </w:tcBorders>
            <w:shd w:val="clear" w:color="auto" w:fill="F2F2F2" w:themeFill="background1" w:themeFillShade="F2"/>
          </w:tcPr>
          <w:p w14:paraId="6480FA77" w14:textId="77777777" w:rsidR="009275CA" w:rsidRDefault="009275CA" w:rsidP="009275CA">
            <w:pPr>
              <w:pStyle w:val="Default"/>
              <w:spacing w:line="260" w:lineRule="exact"/>
              <w:ind w:left="57"/>
              <w:rPr>
                <w:sz w:val="20"/>
                <w:szCs w:val="20"/>
              </w:rPr>
            </w:pPr>
            <w:r w:rsidRPr="00882A9B">
              <w:rPr>
                <w:sz w:val="20"/>
                <w:szCs w:val="20"/>
              </w:rPr>
              <w:lastRenderedPageBreak/>
              <w:t>Informacje podstawowe o obowiązkowym systemie gwarantowania depozytów:</w:t>
            </w:r>
          </w:p>
          <w:p w14:paraId="4315A496" w14:textId="775EF040" w:rsidR="009275CA" w:rsidRDefault="009275CA" w:rsidP="009275CA">
            <w:pPr>
              <w:pStyle w:val="Default"/>
              <w:spacing w:before="120" w:line="260" w:lineRule="exact"/>
              <w:ind w:left="270" w:right="113" w:hanging="213"/>
              <w:jc w:val="both"/>
              <w:rPr>
                <w:sz w:val="20"/>
                <w:szCs w:val="20"/>
              </w:rPr>
            </w:pPr>
            <w:r>
              <w:rPr>
                <w:sz w:val="20"/>
                <w:szCs w:val="20"/>
              </w:rPr>
              <w:t>– ochrona środków dotyczy sytuacji spełnienia warunku gwarancji wobec,</w:t>
            </w:r>
            <w:r w:rsidR="00B563B0" w:rsidRPr="00B563B0">
              <w:rPr>
                <w:color w:val="auto"/>
                <w:sz w:val="20"/>
                <w:szCs w:val="20"/>
                <w:lang w:eastAsia="en-US"/>
              </w:rPr>
              <w:t xml:space="preserve"> Powszechna Kasa Oszczędności Bank Polski Spółka Akcyjna z siedzibą w Warszawie</w:t>
            </w:r>
          </w:p>
          <w:p w14:paraId="3057E3E9" w14:textId="77777777" w:rsidR="009275CA" w:rsidRDefault="009275CA" w:rsidP="009275CA">
            <w:pPr>
              <w:pStyle w:val="Default"/>
              <w:spacing w:before="120" w:line="260" w:lineRule="exact"/>
              <w:ind w:left="270" w:right="113" w:hanging="213"/>
              <w:jc w:val="both"/>
              <w:rPr>
                <w:sz w:val="20"/>
                <w:szCs w:val="20"/>
              </w:rPr>
            </w:pPr>
            <w:r>
              <w:rPr>
                <w:sz w:val="20"/>
                <w:szCs w:val="20"/>
              </w:rPr>
              <w:t>–</w:t>
            </w:r>
            <w:r>
              <w:rPr>
                <w:sz w:val="20"/>
                <w:szCs w:val="20"/>
              </w:rPr>
              <w:tab/>
            </w:r>
            <w:r w:rsidRPr="00B45E02">
              <w:rPr>
                <w:sz w:val="20"/>
                <w:szCs w:val="20"/>
              </w:rPr>
              <w:t>w przypadku rachunku powierniczego deponentem (uprawnionym do środków gwarantowanych) jest każdy</w:t>
            </w:r>
            <w:r>
              <w:rPr>
                <w:sz w:val="20"/>
                <w:szCs w:val="20"/>
              </w:rPr>
              <w:br/>
            </w:r>
            <w:r w:rsidRPr="00B45E02">
              <w:rPr>
                <w:sz w:val="20"/>
                <w:szCs w:val="20"/>
              </w:rPr>
              <w:t>z powierzających,</w:t>
            </w:r>
            <w:r>
              <w:rPr>
                <w:sz w:val="20"/>
                <w:szCs w:val="20"/>
              </w:rPr>
              <w:t xml:space="preserve"> </w:t>
            </w:r>
            <w:r w:rsidRPr="00B45E02">
              <w:rPr>
                <w:sz w:val="20"/>
                <w:szCs w:val="20"/>
              </w:rPr>
              <w:t>w granicach wynikających z jego udziału w kwocie zgromadzonej na tym rachunku, a w granicach</w:t>
            </w:r>
            <w:r>
              <w:rPr>
                <w:sz w:val="20"/>
                <w:szCs w:val="20"/>
              </w:rPr>
              <w:t xml:space="preserve"> </w:t>
            </w:r>
            <w:r w:rsidRPr="00B45E02">
              <w:rPr>
                <w:sz w:val="20"/>
                <w:szCs w:val="20"/>
              </w:rPr>
              <w:t>pozostałej kwoty na rachunku prawo do środków gwarantowanych ma powiernik</w:t>
            </w:r>
            <w:r>
              <w:rPr>
                <w:sz w:val="20"/>
                <w:szCs w:val="20"/>
              </w:rPr>
              <w:t xml:space="preserve">, </w:t>
            </w:r>
          </w:p>
          <w:p w14:paraId="36CF3E2F" w14:textId="77777777" w:rsidR="009275CA" w:rsidRDefault="009275CA" w:rsidP="009275CA">
            <w:pPr>
              <w:pStyle w:val="Default"/>
              <w:spacing w:before="120" w:line="260" w:lineRule="exact"/>
              <w:ind w:left="270" w:right="113" w:hanging="213"/>
              <w:jc w:val="both"/>
              <w:rPr>
                <w:sz w:val="20"/>
                <w:szCs w:val="20"/>
              </w:rPr>
            </w:pPr>
            <w:r>
              <w:rPr>
                <w:sz w:val="20"/>
                <w:szCs w:val="20"/>
              </w:rPr>
              <w:t xml:space="preserve">– </w:t>
            </w:r>
            <w:r w:rsidRPr="00B45E02">
              <w:rPr>
                <w:sz w:val="20"/>
                <w:szCs w:val="20"/>
              </w:rPr>
              <w:t>limit gwarancyjny przypadający na jednego deponenta to równowartość w złotych 100 000 euro; w przypadkach</w:t>
            </w:r>
            <w:r>
              <w:rPr>
                <w:sz w:val="20"/>
                <w:szCs w:val="20"/>
              </w:rPr>
              <w:t xml:space="preserve"> </w:t>
            </w:r>
            <w:r w:rsidRPr="00B45E02">
              <w:rPr>
                <w:sz w:val="20"/>
                <w:szCs w:val="20"/>
              </w:rPr>
              <w:t>określonych w art. 24 ust. 3 i 4 ustawy z dnia 10 czerwca 2016 r. o Bankowym Funduszu Gwarancyjnym, systemie</w:t>
            </w:r>
            <w:r>
              <w:rPr>
                <w:sz w:val="20"/>
                <w:szCs w:val="20"/>
              </w:rPr>
              <w:t xml:space="preserve"> </w:t>
            </w:r>
            <w:r w:rsidRPr="00B45E02">
              <w:rPr>
                <w:sz w:val="20"/>
                <w:szCs w:val="20"/>
              </w:rPr>
              <w:t>gwarantowania depozytów oraz przymusowej restrukturyzacji, środki deponenta, w terminie 3 miesięcy od dnia ich</w:t>
            </w:r>
            <w:r>
              <w:rPr>
                <w:sz w:val="20"/>
                <w:szCs w:val="20"/>
              </w:rPr>
              <w:t xml:space="preserve"> </w:t>
            </w:r>
            <w:r w:rsidRPr="00B45E02">
              <w:rPr>
                <w:sz w:val="20"/>
                <w:szCs w:val="20"/>
              </w:rPr>
              <w:t>wpływu na rachunek, objęte są gwarancjami ponad równowartość w złotych 100 000 euro</w:t>
            </w:r>
            <w:r>
              <w:rPr>
                <w:sz w:val="20"/>
                <w:szCs w:val="20"/>
              </w:rPr>
              <w:t xml:space="preserve">, </w:t>
            </w:r>
          </w:p>
          <w:p w14:paraId="47915110" w14:textId="2C556CE1" w:rsidR="009275CA" w:rsidRDefault="009275CA" w:rsidP="009275CA">
            <w:pPr>
              <w:pStyle w:val="Default"/>
              <w:spacing w:before="120" w:line="260" w:lineRule="exact"/>
              <w:ind w:left="270" w:right="113" w:hanging="213"/>
              <w:jc w:val="both"/>
              <w:rPr>
                <w:sz w:val="20"/>
                <w:szCs w:val="20"/>
              </w:rPr>
            </w:pPr>
            <w:r>
              <w:rPr>
                <w:sz w:val="20"/>
                <w:szCs w:val="20"/>
              </w:rPr>
              <w:t xml:space="preserve">– </w:t>
            </w:r>
            <w:r>
              <w:rPr>
                <w:sz w:val="20"/>
                <w:szCs w:val="20"/>
              </w:rPr>
              <w:tab/>
            </w:r>
            <w:r w:rsidRPr="00B45E02">
              <w:rPr>
                <w:sz w:val="20"/>
                <w:szCs w:val="20"/>
              </w:rPr>
              <w:t>podstawą wyliczenia kwoty środków gwarantowanych należnej deponentowi jest suma wszystkich podlegających</w:t>
            </w:r>
            <w:r>
              <w:rPr>
                <w:sz w:val="20"/>
                <w:szCs w:val="20"/>
              </w:rPr>
              <w:t xml:space="preserve"> </w:t>
            </w:r>
            <w:r w:rsidRPr="00B45E02">
              <w:rPr>
                <w:sz w:val="20"/>
                <w:szCs w:val="20"/>
              </w:rPr>
              <w:t>ochronie należności tego deponenta od banku lub kasy, w tym należności z tytułu środków zgromadzonych na jego</w:t>
            </w:r>
            <w:r>
              <w:rPr>
                <w:sz w:val="20"/>
                <w:szCs w:val="20"/>
              </w:rPr>
              <w:t xml:space="preserve"> </w:t>
            </w:r>
            <w:r w:rsidRPr="00B45E02">
              <w:rPr>
                <w:sz w:val="20"/>
                <w:szCs w:val="20"/>
              </w:rPr>
              <w:t>rachunkach osobistych i z tytułu jego udziału w środkach zgromadzonych na rachunku powierniczym</w:t>
            </w:r>
            <w:r>
              <w:rPr>
                <w:sz w:val="20"/>
                <w:szCs w:val="20"/>
              </w:rPr>
              <w:t xml:space="preserve">, </w:t>
            </w:r>
          </w:p>
          <w:p w14:paraId="2CDFB14C" w14:textId="77777777" w:rsidR="009275CA" w:rsidRDefault="009275CA" w:rsidP="009275CA">
            <w:pPr>
              <w:pStyle w:val="Default"/>
              <w:spacing w:before="120" w:line="260" w:lineRule="exact"/>
              <w:ind w:left="270" w:right="113" w:hanging="213"/>
              <w:jc w:val="both"/>
              <w:rPr>
                <w:sz w:val="20"/>
                <w:szCs w:val="20"/>
              </w:rPr>
            </w:pPr>
            <w:r>
              <w:rPr>
                <w:sz w:val="20"/>
                <w:szCs w:val="20"/>
              </w:rPr>
              <w:t>–</w:t>
            </w:r>
            <w:r>
              <w:rPr>
                <w:sz w:val="20"/>
                <w:szCs w:val="20"/>
              </w:rPr>
              <w:tab/>
            </w:r>
            <w:r w:rsidRPr="00B45E02">
              <w:rPr>
                <w:sz w:val="20"/>
                <w:szCs w:val="20"/>
              </w:rPr>
              <w:t>wypłata środków gwarantowanych – co do zasady – następuje w terminie 7 dni roboczych od dnia spełnienia</w:t>
            </w:r>
            <w:r>
              <w:rPr>
                <w:sz w:val="20"/>
                <w:szCs w:val="20"/>
              </w:rPr>
              <w:t xml:space="preserve"> </w:t>
            </w:r>
            <w:r w:rsidRPr="00B45E02">
              <w:rPr>
                <w:sz w:val="20"/>
                <w:szCs w:val="20"/>
              </w:rPr>
              <w:t>warunku gwarancji wobec banku lub kasy</w:t>
            </w:r>
            <w:r>
              <w:rPr>
                <w:sz w:val="20"/>
                <w:szCs w:val="20"/>
              </w:rPr>
              <w:t>,</w:t>
            </w:r>
          </w:p>
          <w:p w14:paraId="1CA18C53" w14:textId="77777777" w:rsidR="009275CA" w:rsidRDefault="009275CA" w:rsidP="009275CA">
            <w:pPr>
              <w:pStyle w:val="Default"/>
              <w:spacing w:before="120" w:line="260" w:lineRule="exact"/>
              <w:ind w:left="270" w:right="113" w:hanging="213"/>
              <w:jc w:val="both"/>
              <w:rPr>
                <w:sz w:val="20"/>
                <w:szCs w:val="20"/>
              </w:rPr>
            </w:pPr>
            <w:r>
              <w:rPr>
                <w:sz w:val="20"/>
                <w:szCs w:val="20"/>
              </w:rPr>
              <w:t>–</w:t>
            </w:r>
            <w:r>
              <w:rPr>
                <w:sz w:val="20"/>
                <w:szCs w:val="20"/>
              </w:rPr>
              <w:tab/>
              <w:t xml:space="preserve">wypłata środków gwarantowanych jest dokonywana w złotych, </w:t>
            </w:r>
          </w:p>
          <w:p w14:paraId="7C910C36" w14:textId="5C7BE815" w:rsidR="009275CA" w:rsidRPr="00882A9B" w:rsidRDefault="009275CA" w:rsidP="009275CA">
            <w:pPr>
              <w:pStyle w:val="Default"/>
              <w:spacing w:before="120" w:line="260" w:lineRule="exact"/>
              <w:ind w:left="270" w:right="113" w:hanging="213"/>
              <w:jc w:val="both"/>
              <w:rPr>
                <w:sz w:val="20"/>
                <w:szCs w:val="20"/>
              </w:rPr>
            </w:pPr>
            <w:r>
              <w:rPr>
                <w:sz w:val="20"/>
                <w:szCs w:val="20"/>
              </w:rPr>
              <w:lastRenderedPageBreak/>
              <w:t>–</w:t>
            </w:r>
            <w:r>
              <w:rPr>
                <w:sz w:val="20"/>
                <w:szCs w:val="20"/>
              </w:rPr>
              <w:tab/>
            </w:r>
            <w:r w:rsidR="00B563B0" w:rsidRPr="00B563B0">
              <w:rPr>
                <w:color w:val="auto"/>
                <w:sz w:val="20"/>
                <w:szCs w:val="20"/>
                <w:lang w:eastAsia="en-US"/>
              </w:rPr>
              <w:t>Powszechna Kasa Oszczędności Bank Polski Spółka Akcyjna z siedzibą w Warszawie</w:t>
            </w:r>
            <w:r w:rsidR="00B563B0">
              <w:rPr>
                <w:sz w:val="20"/>
                <w:szCs w:val="20"/>
              </w:rPr>
              <w:t xml:space="preserve"> </w:t>
            </w:r>
            <w:r>
              <w:rPr>
                <w:sz w:val="20"/>
                <w:szCs w:val="20"/>
              </w:rPr>
              <w:t xml:space="preserve">korzysta także z następujących znaków towarowych: </w:t>
            </w:r>
            <w:r>
              <w:rPr>
                <w:sz w:val="20"/>
                <w:szCs w:val="22"/>
              </w:rPr>
              <w:fldChar w:fldCharType="begin">
                <w:ffData>
                  <w:name w:val=""/>
                  <w:enabled/>
                  <w:calcOnExit w:val="0"/>
                  <w:textInput>
                    <w:default w:val="…………"/>
                  </w:textInput>
                </w:ffData>
              </w:fldChar>
            </w:r>
            <w:r>
              <w:rPr>
                <w:sz w:val="20"/>
                <w:szCs w:val="22"/>
              </w:rPr>
              <w:instrText xml:space="preserve"> FORMTEXT </w:instrText>
            </w:r>
            <w:r>
              <w:rPr>
                <w:sz w:val="20"/>
                <w:szCs w:val="22"/>
              </w:rPr>
            </w:r>
            <w:r>
              <w:rPr>
                <w:sz w:val="20"/>
                <w:szCs w:val="22"/>
              </w:rPr>
              <w:fldChar w:fldCharType="separate"/>
            </w:r>
            <w:r>
              <w:rPr>
                <w:noProof/>
                <w:sz w:val="20"/>
                <w:szCs w:val="22"/>
              </w:rPr>
              <w:t>…………</w:t>
            </w:r>
            <w:r>
              <w:rPr>
                <w:sz w:val="20"/>
                <w:szCs w:val="22"/>
              </w:rPr>
              <w:fldChar w:fldCharType="end"/>
            </w:r>
            <w:r>
              <w:rPr>
                <w:sz w:val="20"/>
                <w:szCs w:val="20"/>
              </w:rPr>
              <w:t xml:space="preserve"> </w:t>
            </w:r>
          </w:p>
        </w:tc>
      </w:tr>
      <w:tr w:rsidR="009275CA" w:rsidRPr="00194B92" w14:paraId="557B218F" w14:textId="77777777" w:rsidTr="005C0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9"/>
        </w:trPr>
        <w:tc>
          <w:tcPr>
            <w:tcW w:w="10212" w:type="dxa"/>
            <w:gridSpan w:val="4"/>
            <w:tcBorders>
              <w:left w:val="single" w:sz="12" w:space="0" w:color="auto"/>
              <w:bottom w:val="single" w:sz="12" w:space="0" w:color="auto"/>
              <w:right w:val="single" w:sz="12" w:space="0" w:color="auto"/>
            </w:tcBorders>
            <w:shd w:val="clear" w:color="auto" w:fill="F2F2F2" w:themeFill="background1" w:themeFillShade="F2"/>
          </w:tcPr>
          <w:p w14:paraId="6CBB9D10" w14:textId="3A0F5150" w:rsidR="009275CA" w:rsidRDefault="009275CA" w:rsidP="009275CA">
            <w:pPr>
              <w:pStyle w:val="Default"/>
              <w:spacing w:before="120" w:line="260" w:lineRule="exact"/>
              <w:ind w:left="57" w:right="113"/>
              <w:jc w:val="both"/>
              <w:rPr>
                <w:sz w:val="20"/>
                <w:szCs w:val="20"/>
              </w:rPr>
            </w:pPr>
            <w:r w:rsidRPr="007251D5">
              <w:rPr>
                <w:sz w:val="20"/>
                <w:szCs w:val="20"/>
              </w:rPr>
              <w:lastRenderedPageBreak/>
              <w:t xml:space="preserve">Dalsze informacje na temat systemu gwarantowania depozytów można uzyskać na stronie internetowej Bankowego Funduszu Gwarancyjnego: </w:t>
            </w:r>
            <w:hyperlink r:id="rId10" w:history="1">
              <w:r w:rsidRPr="00234220">
                <w:rPr>
                  <w:rStyle w:val="Hipercze"/>
                  <w:sz w:val="20"/>
                  <w:szCs w:val="20"/>
                </w:rPr>
                <w:t>https://www.bfg.pl/</w:t>
              </w:r>
            </w:hyperlink>
            <w:r w:rsidRPr="007251D5">
              <w:rPr>
                <w:sz w:val="20"/>
                <w:szCs w:val="20"/>
              </w:rPr>
              <w:t>.</w:t>
            </w:r>
          </w:p>
          <w:p w14:paraId="7485638C" w14:textId="650A2BBB" w:rsidR="009275CA" w:rsidRDefault="009275CA" w:rsidP="009275CA">
            <w:pPr>
              <w:pStyle w:val="Default"/>
              <w:spacing w:before="120" w:line="260" w:lineRule="exact"/>
              <w:ind w:left="57" w:right="113"/>
              <w:jc w:val="both"/>
              <w:rPr>
                <w:sz w:val="20"/>
                <w:szCs w:val="20"/>
              </w:rPr>
            </w:pPr>
            <w:r w:rsidRPr="00C2585C">
              <w:rPr>
                <w:sz w:val="20"/>
                <w:szCs w:val="20"/>
              </w:rPr>
              <w:t>Informacja zamieszczana w przypadku zawarcia umowy mieszkaniowego rachunku powierniczego z oddziałem instytucji kredytowej w rozumieniu art. 4 ust. 1 pkt 18 ustawy z dnia 29 sierpnia 1997 r. – Prawo bankowe (Dz. U. z 2023 r. poz. 2488)</w:t>
            </w:r>
            <w:r w:rsidRPr="00C867B8">
              <w:rPr>
                <w:sz w:val="20"/>
                <w:szCs w:val="20"/>
              </w:rPr>
              <w:t>.</w:t>
            </w:r>
          </w:p>
          <w:p w14:paraId="3C48F210" w14:textId="77777777" w:rsidR="009275CA" w:rsidRPr="007251D5" w:rsidRDefault="009275CA" w:rsidP="009275CA">
            <w:pPr>
              <w:pStyle w:val="Default"/>
              <w:spacing w:before="120" w:line="260" w:lineRule="exact"/>
              <w:ind w:left="57" w:right="113"/>
              <w:jc w:val="both"/>
              <w:rPr>
                <w:sz w:val="20"/>
                <w:szCs w:val="20"/>
              </w:rPr>
            </w:pPr>
            <w:r w:rsidRPr="00B45E02">
              <w:rPr>
                <w:sz w:val="20"/>
                <w:szCs w:val="20"/>
              </w:rPr>
              <w:t>Oddział instytucji kredytowej w rozumieniu art. 4 ust. 1 pkt 18 ustawy z dnia 29 sierpnia 1997 r. – Prawo bankowe jest</w:t>
            </w:r>
            <w:r>
              <w:rPr>
                <w:sz w:val="20"/>
                <w:szCs w:val="20"/>
              </w:rPr>
              <w:t xml:space="preserve"> </w:t>
            </w:r>
            <w:r w:rsidRPr="00B45E02">
              <w:rPr>
                <w:sz w:val="20"/>
                <w:szCs w:val="20"/>
              </w:rPr>
              <w:t>objęty systemem gwarantowania państwa macierzystego, co oznacza, że nie mają do niego zastosowania przepisy</w:t>
            </w:r>
            <w:r>
              <w:rPr>
                <w:sz w:val="20"/>
                <w:szCs w:val="20"/>
              </w:rPr>
              <w:t xml:space="preserve"> </w:t>
            </w:r>
            <w:r w:rsidRPr="00B45E02">
              <w:rPr>
                <w:sz w:val="20"/>
                <w:szCs w:val="20"/>
              </w:rPr>
              <w:t>ustawy</w:t>
            </w:r>
            <w:r>
              <w:rPr>
                <w:sz w:val="20"/>
                <w:szCs w:val="20"/>
              </w:rPr>
              <w:br/>
            </w:r>
            <w:r w:rsidRPr="00B45E02">
              <w:rPr>
                <w:sz w:val="20"/>
                <w:szCs w:val="20"/>
              </w:rPr>
              <w:t>z dnia 10 czerwca 2016 r. o Bankowym Funduszu Gwarancyjnym, systemie gwarantowania depozytów oraz</w:t>
            </w:r>
            <w:r>
              <w:rPr>
                <w:sz w:val="20"/>
                <w:szCs w:val="20"/>
              </w:rPr>
              <w:t xml:space="preserve"> </w:t>
            </w:r>
            <w:r w:rsidRPr="00B45E02">
              <w:rPr>
                <w:sz w:val="20"/>
                <w:szCs w:val="20"/>
              </w:rPr>
              <w:t>przymusowej restrukturyzacji</w:t>
            </w:r>
            <w:r w:rsidRPr="00C867B8">
              <w:rPr>
                <w:sz w:val="20"/>
                <w:szCs w:val="20"/>
              </w:rPr>
              <w:t>.</w:t>
            </w:r>
          </w:p>
        </w:tc>
      </w:tr>
    </w:tbl>
    <w:p w14:paraId="6FC34B4E" w14:textId="77777777" w:rsidR="00C867B8" w:rsidRDefault="00C867B8">
      <w:r>
        <w:br w:type="page"/>
      </w:r>
    </w:p>
    <w:tbl>
      <w:tblPr>
        <w:tblW w:w="10212" w:type="dxa"/>
        <w:tblInd w:w="-5" w:type="dxa"/>
        <w:tblLayout w:type="fixed"/>
        <w:tblCellMar>
          <w:left w:w="107" w:type="dxa"/>
          <w:right w:w="107" w:type="dxa"/>
        </w:tblCellMar>
        <w:tblLook w:val="0000" w:firstRow="0" w:lastRow="0" w:firstColumn="0" w:lastColumn="0" w:noHBand="0" w:noVBand="0"/>
      </w:tblPr>
      <w:tblGrid>
        <w:gridCol w:w="3200"/>
        <w:gridCol w:w="2507"/>
        <w:gridCol w:w="650"/>
        <w:gridCol w:w="3050"/>
        <w:gridCol w:w="805"/>
      </w:tblGrid>
      <w:tr w:rsidR="009A0C09" w:rsidRPr="008F2834" w14:paraId="7E92AE09" w14:textId="77777777" w:rsidTr="00B563B0">
        <w:trPr>
          <w:trHeight w:val="697"/>
        </w:trPr>
        <w:tc>
          <w:tcPr>
            <w:tcW w:w="10212" w:type="dxa"/>
            <w:gridSpan w:val="5"/>
          </w:tcPr>
          <w:p w14:paraId="322CDFCE" w14:textId="77777777" w:rsidR="009A0C09" w:rsidRPr="008F2834" w:rsidRDefault="009A0C09" w:rsidP="009A0C09">
            <w:pPr>
              <w:spacing w:before="240" w:after="40" w:line="280" w:lineRule="exact"/>
              <w:ind w:left="-57" w:right="-57"/>
              <w:rPr>
                <w:b/>
                <w:bCs/>
              </w:rPr>
            </w:pPr>
            <w:r w:rsidRPr="008F2834">
              <w:rPr>
                <w:b/>
                <w:bCs/>
              </w:rPr>
              <w:lastRenderedPageBreak/>
              <w:t>CZĘŚĆ INDYWIDUALNA</w:t>
            </w:r>
          </w:p>
        </w:tc>
      </w:tr>
      <w:tr w:rsidR="009A0C09" w:rsidRPr="00015907" w14:paraId="65000913" w14:textId="77777777" w:rsidTr="00B563B0">
        <w:tblPrEx>
          <w:tblCellMar>
            <w:left w:w="40" w:type="dxa"/>
            <w:right w:w="40" w:type="dxa"/>
          </w:tblCellMar>
        </w:tblPrEx>
        <w:trPr>
          <w:trHeight w:val="768"/>
        </w:trPr>
        <w:tc>
          <w:tcPr>
            <w:tcW w:w="3200" w:type="dxa"/>
            <w:tcBorders>
              <w:top w:val="single" w:sz="12" w:space="0" w:color="auto"/>
              <w:left w:val="single" w:sz="12" w:space="0" w:color="auto"/>
              <w:bottom w:val="single" w:sz="6" w:space="0" w:color="auto"/>
              <w:right w:val="single" w:sz="6" w:space="0" w:color="auto"/>
            </w:tcBorders>
            <w:shd w:val="clear" w:color="auto" w:fill="F2F2F2" w:themeFill="background1" w:themeFillShade="F2"/>
          </w:tcPr>
          <w:p w14:paraId="5C2B850E" w14:textId="77777777" w:rsidR="009A0C09" w:rsidRPr="008F2834" w:rsidRDefault="009A0C09" w:rsidP="00C867B8">
            <w:pPr>
              <w:spacing w:before="20" w:after="10" w:line="260" w:lineRule="exact"/>
              <w:ind w:left="57" w:right="-57"/>
            </w:pPr>
            <w:r w:rsidRPr="007251D5">
              <w:t xml:space="preserve">Cena lokalu mieszkalnego </w:t>
            </w:r>
            <w:r w:rsidR="00C867B8">
              <w:br/>
            </w:r>
            <w:r w:rsidRPr="007251D5">
              <w:t>albo domu jednorodzinnego</w:t>
            </w:r>
          </w:p>
        </w:tc>
        <w:tc>
          <w:tcPr>
            <w:tcW w:w="7012" w:type="dxa"/>
            <w:gridSpan w:val="4"/>
            <w:tcBorders>
              <w:top w:val="single" w:sz="12" w:space="0" w:color="auto"/>
              <w:left w:val="single" w:sz="6" w:space="0" w:color="auto"/>
              <w:bottom w:val="single" w:sz="6" w:space="0" w:color="auto"/>
              <w:right w:val="single" w:sz="12" w:space="0" w:color="auto"/>
            </w:tcBorders>
            <w:shd w:val="clear" w:color="auto" w:fill="FFFFFF"/>
          </w:tcPr>
          <w:p w14:paraId="0C9C589C" w14:textId="3FABC70C" w:rsidR="009A0C09" w:rsidRPr="00B563B0" w:rsidRDefault="00E473BC" w:rsidP="009A0C09">
            <w:pPr>
              <w:shd w:val="clear" w:color="auto" w:fill="FFFFFF"/>
              <w:spacing w:before="30" w:line="270" w:lineRule="exact"/>
              <w:rPr>
                <w:bCs/>
                <w:sz w:val="21"/>
                <w:szCs w:val="21"/>
              </w:rPr>
            </w:pPr>
            <w:r>
              <w:rPr>
                <w:bCs/>
                <w:sz w:val="21"/>
                <w:szCs w:val="21"/>
              </w:rPr>
              <w:t xml:space="preserve"> </w:t>
            </w:r>
          </w:p>
        </w:tc>
      </w:tr>
      <w:tr w:rsidR="009A0C09" w:rsidRPr="00015907" w14:paraId="1CC45008" w14:textId="77777777" w:rsidTr="00B563B0">
        <w:tblPrEx>
          <w:tblCellMar>
            <w:left w:w="40" w:type="dxa"/>
            <w:right w:w="40" w:type="dxa"/>
          </w:tblCellMar>
        </w:tblPrEx>
        <w:trPr>
          <w:trHeight w:val="991"/>
        </w:trPr>
        <w:tc>
          <w:tcPr>
            <w:tcW w:w="320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4D6904C7" w14:textId="77777777" w:rsidR="009A0C09" w:rsidRPr="00333135" w:rsidRDefault="009A0C09" w:rsidP="00C867B8">
            <w:pPr>
              <w:spacing w:before="20" w:after="10" w:line="260" w:lineRule="exact"/>
              <w:ind w:left="57" w:right="-57"/>
            </w:pPr>
            <w:r w:rsidRPr="007251D5">
              <w:t>Powierzchnia użytkowa lokalu mieszkalnego albo domu jednorodzinnego</w:t>
            </w:r>
          </w:p>
        </w:tc>
        <w:tc>
          <w:tcPr>
            <w:tcW w:w="7012" w:type="dxa"/>
            <w:gridSpan w:val="4"/>
            <w:tcBorders>
              <w:top w:val="single" w:sz="6" w:space="0" w:color="auto"/>
              <w:left w:val="single" w:sz="6" w:space="0" w:color="auto"/>
              <w:bottom w:val="single" w:sz="6" w:space="0" w:color="auto"/>
              <w:right w:val="single" w:sz="12" w:space="0" w:color="auto"/>
            </w:tcBorders>
            <w:shd w:val="clear" w:color="auto" w:fill="FFFFFF"/>
          </w:tcPr>
          <w:p w14:paraId="50E92F31" w14:textId="0A4B3BD9" w:rsidR="009A0C09" w:rsidRPr="00B563B0" w:rsidRDefault="009A0C09" w:rsidP="009A0C09">
            <w:pPr>
              <w:shd w:val="clear" w:color="auto" w:fill="FFFFFF"/>
              <w:spacing w:before="30" w:line="270" w:lineRule="exact"/>
              <w:rPr>
                <w:bCs/>
                <w:sz w:val="21"/>
                <w:szCs w:val="21"/>
              </w:rPr>
            </w:pPr>
          </w:p>
        </w:tc>
      </w:tr>
      <w:tr w:rsidR="009A0C09" w:rsidRPr="00015907" w14:paraId="741E519F" w14:textId="77777777" w:rsidTr="00B563B0">
        <w:tblPrEx>
          <w:tblCellMar>
            <w:left w:w="40" w:type="dxa"/>
            <w:right w:w="40" w:type="dxa"/>
          </w:tblCellMar>
        </w:tblPrEx>
        <w:trPr>
          <w:trHeight w:val="991"/>
        </w:trPr>
        <w:tc>
          <w:tcPr>
            <w:tcW w:w="320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323F0598" w14:textId="77777777" w:rsidR="009A0C09" w:rsidRPr="007251D5" w:rsidRDefault="009A0C09" w:rsidP="00C867B8">
            <w:pPr>
              <w:spacing w:before="20" w:after="10" w:line="260" w:lineRule="exact"/>
              <w:ind w:left="57" w:right="-57"/>
            </w:pPr>
            <w:r w:rsidRPr="007251D5">
              <w:t>Cena m</w:t>
            </w:r>
            <w:r w:rsidRPr="00C867B8">
              <w:rPr>
                <w:vertAlign w:val="superscript"/>
              </w:rPr>
              <w:t>2</w:t>
            </w:r>
            <w:r w:rsidRPr="007251D5">
              <w:t xml:space="preserve"> powierzchni użytkowej lokalu mieszkalnego albo domu jednorodzinnego</w:t>
            </w:r>
          </w:p>
        </w:tc>
        <w:tc>
          <w:tcPr>
            <w:tcW w:w="7012" w:type="dxa"/>
            <w:gridSpan w:val="4"/>
            <w:tcBorders>
              <w:top w:val="single" w:sz="6" w:space="0" w:color="auto"/>
              <w:left w:val="single" w:sz="6" w:space="0" w:color="auto"/>
              <w:bottom w:val="single" w:sz="6" w:space="0" w:color="auto"/>
              <w:right w:val="single" w:sz="12" w:space="0" w:color="auto"/>
            </w:tcBorders>
            <w:shd w:val="clear" w:color="auto" w:fill="FFFFFF"/>
          </w:tcPr>
          <w:p w14:paraId="36C66505" w14:textId="5EF0FC38" w:rsidR="009A0C09" w:rsidRPr="00B563B0" w:rsidRDefault="009A0C09" w:rsidP="009A0C09">
            <w:pPr>
              <w:shd w:val="clear" w:color="auto" w:fill="FFFFFF"/>
              <w:spacing w:before="30" w:line="270" w:lineRule="exact"/>
              <w:rPr>
                <w:bCs/>
                <w:sz w:val="21"/>
                <w:szCs w:val="21"/>
              </w:rPr>
            </w:pPr>
          </w:p>
        </w:tc>
      </w:tr>
      <w:tr w:rsidR="00B563B0" w:rsidRPr="00015907" w14:paraId="604BF39C" w14:textId="77777777" w:rsidTr="00B563B0">
        <w:tblPrEx>
          <w:tblCellMar>
            <w:left w:w="40" w:type="dxa"/>
            <w:right w:w="40" w:type="dxa"/>
          </w:tblCellMar>
        </w:tblPrEx>
        <w:trPr>
          <w:trHeight w:val="3102"/>
        </w:trPr>
        <w:tc>
          <w:tcPr>
            <w:tcW w:w="320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4A2E34AD" w14:textId="77777777" w:rsidR="00B563B0" w:rsidRPr="007251D5" w:rsidRDefault="00B563B0" w:rsidP="00B563B0">
            <w:pPr>
              <w:spacing w:before="20" w:after="10" w:line="260" w:lineRule="exact"/>
              <w:ind w:left="57" w:right="-57"/>
            </w:pPr>
            <w:r w:rsidRPr="00C867B8">
              <w:t xml:space="preserve">Termin, do którego nastąpi przeniesienie prawa własności nieruchomości wynikającego </w:t>
            </w:r>
            <w:r>
              <w:br/>
            </w:r>
            <w:r w:rsidRPr="00C867B8">
              <w:t xml:space="preserve">z umowy deweloperskiej lub jednej </w:t>
            </w:r>
            <w:r>
              <w:br/>
            </w:r>
            <w:r w:rsidRPr="00C867B8">
              <w:t xml:space="preserve">z umów, o których mowa w art. 2 </w:t>
            </w:r>
            <w:r>
              <w:br/>
            </w:r>
            <w:r w:rsidRPr="00C867B8">
              <w:t xml:space="preserve">ust. 1 pkt 2, 3 lub 5 lub ust. 2 ustawy </w:t>
            </w:r>
            <w:r>
              <w:br/>
            </w:r>
            <w:r w:rsidRPr="00C867B8">
              <w:t xml:space="preserve">z dnia 20 maja 2021 r. o ochronie praw nabywcy lokalu mieszkalnego lub domu jednorodzinnego </w:t>
            </w:r>
            <w:r>
              <w:br/>
            </w:r>
            <w:r w:rsidRPr="00C867B8">
              <w:t>oraz Deweloperskim Funduszu Gwarancyjnym</w:t>
            </w:r>
          </w:p>
        </w:tc>
        <w:tc>
          <w:tcPr>
            <w:tcW w:w="7012" w:type="dxa"/>
            <w:gridSpan w:val="4"/>
          </w:tcPr>
          <w:p w14:paraId="69A7AAAF" w14:textId="32515A66" w:rsidR="00B563B0" w:rsidRPr="009203EF" w:rsidRDefault="00B563B0" w:rsidP="00B563B0">
            <w:pPr>
              <w:shd w:val="clear" w:color="auto" w:fill="FFFFFF"/>
              <w:spacing w:before="30" w:line="270" w:lineRule="exact"/>
              <w:rPr>
                <w:rFonts w:ascii="Arial" w:hAnsi="Arial" w:cs="Arial"/>
                <w:b/>
                <w:sz w:val="21"/>
                <w:szCs w:val="21"/>
              </w:rPr>
            </w:pPr>
            <w:r>
              <w:rPr>
                <w:b/>
              </w:rPr>
              <w:t>Do 3</w:t>
            </w:r>
            <w:r w:rsidR="00AD47F9">
              <w:rPr>
                <w:b/>
              </w:rPr>
              <w:t>0</w:t>
            </w:r>
            <w:r>
              <w:rPr>
                <w:b/>
              </w:rPr>
              <w:t>.</w:t>
            </w:r>
            <w:r w:rsidR="00AD47F9">
              <w:rPr>
                <w:b/>
              </w:rPr>
              <w:t>11</w:t>
            </w:r>
            <w:r>
              <w:rPr>
                <w:b/>
              </w:rPr>
              <w:t xml:space="preserve">.2026 r. </w:t>
            </w:r>
          </w:p>
        </w:tc>
      </w:tr>
      <w:tr w:rsidR="00B563B0" w:rsidRPr="00015907" w14:paraId="028E39F2" w14:textId="77777777" w:rsidTr="00B563B0">
        <w:tblPrEx>
          <w:tblCellMar>
            <w:left w:w="40" w:type="dxa"/>
            <w:right w:w="40" w:type="dxa"/>
          </w:tblCellMar>
        </w:tblPrEx>
        <w:trPr>
          <w:trHeight w:val="510"/>
        </w:trPr>
        <w:tc>
          <w:tcPr>
            <w:tcW w:w="3200" w:type="dxa"/>
            <w:vMerge w:val="restart"/>
            <w:tcBorders>
              <w:top w:val="single" w:sz="6" w:space="0" w:color="auto"/>
              <w:left w:val="single" w:sz="12" w:space="0" w:color="auto"/>
              <w:bottom w:val="single" w:sz="4" w:space="0" w:color="auto"/>
              <w:right w:val="single" w:sz="6" w:space="0" w:color="auto"/>
            </w:tcBorders>
            <w:shd w:val="clear" w:color="auto" w:fill="F2F2F2" w:themeFill="background1" w:themeFillShade="F2"/>
          </w:tcPr>
          <w:p w14:paraId="5CCD810F" w14:textId="77777777" w:rsidR="00B563B0" w:rsidRPr="007251D5" w:rsidRDefault="00B563B0" w:rsidP="00B563B0">
            <w:pPr>
              <w:spacing w:before="20" w:after="10" w:line="260" w:lineRule="exact"/>
              <w:ind w:left="57" w:right="-57"/>
            </w:pPr>
            <w:r w:rsidRPr="00C867B8">
              <w:t xml:space="preserve">Określenie położenia oraz istotnych cech domu jednorodzinnego </w:t>
            </w:r>
            <w:r>
              <w:br/>
            </w:r>
            <w:r w:rsidRPr="00C867B8">
              <w:t>albo budynku, w którym</w:t>
            </w:r>
            <w:r>
              <w:br/>
            </w:r>
            <w:r w:rsidRPr="00C867B8">
              <w:t>ma znajdować się lokal mieszkalny będący przedmiotem umowy rezerwacyjnej albo umowy deweloperskiej lub jednej z umów,</w:t>
            </w:r>
            <w:r>
              <w:br/>
            </w:r>
            <w:r w:rsidRPr="00C867B8">
              <w:t xml:space="preserve">o których mowa w art. 2 ust. 1 </w:t>
            </w:r>
            <w:r>
              <w:br/>
            </w:r>
            <w:r w:rsidRPr="00C867B8">
              <w:t>pkt 2,</w:t>
            </w:r>
            <w:r>
              <w:t xml:space="preserve"> </w:t>
            </w:r>
            <w:r w:rsidRPr="00C867B8">
              <w:t>3 lub 5 lub ust. 2 ustawy</w:t>
            </w:r>
            <w:r>
              <w:br/>
            </w:r>
            <w:r w:rsidRPr="00C867B8">
              <w:t>z dnia 20 maja 2021 r. o ochronie praw nabywcy lokalu mieszkalnego lub domu jednorodzinnego oraz Deweloperskim Funduszu Gwarancyjnym</w:t>
            </w: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52DD1109" w14:textId="77777777" w:rsidR="00B563B0" w:rsidRPr="008F2834" w:rsidRDefault="00B563B0" w:rsidP="00B563B0">
            <w:pPr>
              <w:spacing w:before="20" w:after="10" w:line="260" w:lineRule="exact"/>
              <w:ind w:left="57" w:right="-57"/>
            </w:pPr>
            <w:r w:rsidRPr="007251D5">
              <w:t>Liczba kondygnacji</w:t>
            </w:r>
          </w:p>
        </w:tc>
        <w:tc>
          <w:tcPr>
            <w:tcW w:w="3855" w:type="dxa"/>
            <w:gridSpan w:val="2"/>
            <w:tcBorders>
              <w:top w:val="single" w:sz="6" w:space="0" w:color="auto"/>
              <w:left w:val="single" w:sz="4" w:space="0" w:color="auto"/>
              <w:bottom w:val="single" w:sz="6" w:space="0" w:color="auto"/>
              <w:right w:val="single" w:sz="12" w:space="0" w:color="auto"/>
            </w:tcBorders>
            <w:shd w:val="clear" w:color="auto" w:fill="FFFFFF"/>
          </w:tcPr>
          <w:p w14:paraId="05E37864" w14:textId="4C68D400" w:rsidR="00B563B0" w:rsidRPr="00B563B0" w:rsidRDefault="00B563B0" w:rsidP="00B563B0">
            <w:pPr>
              <w:shd w:val="clear" w:color="auto" w:fill="FFFFFF"/>
              <w:spacing w:before="30" w:line="270" w:lineRule="exact"/>
              <w:rPr>
                <w:bCs/>
                <w:sz w:val="21"/>
                <w:szCs w:val="21"/>
              </w:rPr>
            </w:pPr>
            <w:r>
              <w:rPr>
                <w:bCs/>
                <w:sz w:val="21"/>
                <w:szCs w:val="21"/>
              </w:rPr>
              <w:t>2</w:t>
            </w:r>
          </w:p>
        </w:tc>
      </w:tr>
      <w:tr w:rsidR="00B563B0" w:rsidRPr="00015907" w14:paraId="5F57A4E9" w14:textId="77777777" w:rsidTr="00B563B0">
        <w:tblPrEx>
          <w:tblCellMar>
            <w:left w:w="40" w:type="dxa"/>
            <w:right w:w="40" w:type="dxa"/>
          </w:tblCellMar>
        </w:tblPrEx>
        <w:trPr>
          <w:trHeight w:val="510"/>
        </w:trPr>
        <w:tc>
          <w:tcPr>
            <w:tcW w:w="3200" w:type="dxa"/>
            <w:vMerge/>
            <w:tcBorders>
              <w:left w:val="single" w:sz="12" w:space="0" w:color="auto"/>
              <w:bottom w:val="single" w:sz="4" w:space="0" w:color="auto"/>
              <w:right w:val="single" w:sz="6" w:space="0" w:color="auto"/>
            </w:tcBorders>
            <w:shd w:val="clear" w:color="auto" w:fill="F2F2F2" w:themeFill="background1" w:themeFillShade="F2"/>
            <w:vAlign w:val="center"/>
          </w:tcPr>
          <w:p w14:paraId="2551B36F" w14:textId="77777777" w:rsidR="00B563B0" w:rsidRPr="008F2834" w:rsidRDefault="00B563B0" w:rsidP="00B563B0">
            <w:pPr>
              <w:spacing w:before="40" w:after="10" w:line="26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4A5D7DD8" w14:textId="77777777" w:rsidR="00B563B0" w:rsidRPr="008F2834" w:rsidRDefault="00B563B0" w:rsidP="00B563B0">
            <w:pPr>
              <w:spacing w:before="20" w:after="10" w:line="260" w:lineRule="exact"/>
              <w:ind w:left="57" w:right="-57"/>
            </w:pPr>
            <w:r w:rsidRPr="007251D5">
              <w:t>Technologia wykonania</w:t>
            </w:r>
          </w:p>
        </w:tc>
        <w:tc>
          <w:tcPr>
            <w:tcW w:w="3855" w:type="dxa"/>
            <w:gridSpan w:val="2"/>
            <w:tcBorders>
              <w:top w:val="single" w:sz="6" w:space="0" w:color="auto"/>
              <w:left w:val="single" w:sz="4" w:space="0" w:color="auto"/>
              <w:bottom w:val="single" w:sz="6" w:space="0" w:color="auto"/>
              <w:right w:val="single" w:sz="12" w:space="0" w:color="auto"/>
            </w:tcBorders>
            <w:shd w:val="clear" w:color="auto" w:fill="FFFFFF"/>
          </w:tcPr>
          <w:p w14:paraId="7FB1B41C" w14:textId="78DFAEB3" w:rsidR="00B563B0" w:rsidRPr="009203EF" w:rsidRDefault="00B563B0" w:rsidP="00B563B0">
            <w:pPr>
              <w:shd w:val="clear" w:color="auto" w:fill="FFFFFF"/>
              <w:spacing w:before="30" w:line="270" w:lineRule="exact"/>
              <w:rPr>
                <w:rFonts w:ascii="Arial" w:hAnsi="Arial" w:cs="Arial"/>
                <w:b/>
                <w:sz w:val="21"/>
                <w:szCs w:val="21"/>
              </w:rPr>
            </w:pPr>
            <w:r w:rsidRPr="00B563B0">
              <w:rPr>
                <w:rFonts w:ascii="Calibri" w:eastAsia="Calibri" w:hAnsi="Calibri"/>
                <w:sz w:val="22"/>
                <w:szCs w:val="22"/>
                <w:lang w:eastAsia="en-US"/>
              </w:rPr>
              <w:t xml:space="preserve">Konstrukcja murowana Gazobeton 24 klasa 500, ściany działowe gazobeton 12 klasa 600, </w:t>
            </w:r>
            <w:r>
              <w:rPr>
                <w:rFonts w:ascii="Calibri" w:eastAsia="Calibri" w:hAnsi="Calibri"/>
                <w:sz w:val="22"/>
                <w:szCs w:val="22"/>
                <w:lang w:eastAsia="en-US"/>
              </w:rPr>
              <w:t xml:space="preserve">Stropy monolityczne, </w:t>
            </w:r>
            <w:r w:rsidRPr="00B563B0">
              <w:rPr>
                <w:rFonts w:ascii="Calibri" w:eastAsia="Calibri" w:hAnsi="Calibri"/>
                <w:sz w:val="22"/>
                <w:szCs w:val="22"/>
                <w:lang w:eastAsia="en-US"/>
              </w:rPr>
              <w:t>Więźba dachowa pokryta blacho-dachówka, elewacja styropian gr.20 cm tynk silikonowy, wentylacja grawitacyjna, posadzki betonowe, ogrzewanie podłogowe</w:t>
            </w:r>
          </w:p>
        </w:tc>
      </w:tr>
      <w:tr w:rsidR="00B563B0" w:rsidRPr="00015907" w14:paraId="398638F0" w14:textId="77777777" w:rsidTr="00B563B0">
        <w:tblPrEx>
          <w:tblCellMar>
            <w:left w:w="40" w:type="dxa"/>
            <w:right w:w="40" w:type="dxa"/>
          </w:tblCellMar>
        </w:tblPrEx>
        <w:trPr>
          <w:trHeight w:val="1998"/>
        </w:trPr>
        <w:tc>
          <w:tcPr>
            <w:tcW w:w="3200" w:type="dxa"/>
            <w:vMerge/>
            <w:tcBorders>
              <w:left w:val="single" w:sz="12" w:space="0" w:color="auto"/>
              <w:bottom w:val="single" w:sz="4" w:space="0" w:color="auto"/>
              <w:right w:val="single" w:sz="6" w:space="0" w:color="auto"/>
            </w:tcBorders>
            <w:shd w:val="clear" w:color="auto" w:fill="F2F2F2" w:themeFill="background1" w:themeFillShade="F2"/>
            <w:vAlign w:val="center"/>
          </w:tcPr>
          <w:p w14:paraId="405E5988" w14:textId="77777777" w:rsidR="00B563B0" w:rsidRPr="008F2834" w:rsidRDefault="00B563B0" w:rsidP="00B563B0">
            <w:pPr>
              <w:spacing w:before="40" w:after="10" w:line="26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7E9D9CE8" w14:textId="77777777" w:rsidR="00B563B0" w:rsidRPr="008F2834" w:rsidRDefault="00B563B0" w:rsidP="00B563B0">
            <w:pPr>
              <w:spacing w:before="20" w:after="10" w:line="260" w:lineRule="exact"/>
              <w:ind w:left="57" w:right="-57"/>
            </w:pPr>
            <w:r w:rsidRPr="007251D5">
              <w:t>Standard prac wykończeniowych</w:t>
            </w:r>
            <w:r>
              <w:br/>
            </w:r>
            <w:r w:rsidRPr="007251D5">
              <w:t>w części wspólnej budynku i tere</w:t>
            </w:r>
            <w:r>
              <w:t>n</w:t>
            </w:r>
            <w:r w:rsidRPr="007251D5">
              <w:t>ie wokół niego, stanowiącym część wspólną nieruchomości</w:t>
            </w:r>
          </w:p>
        </w:tc>
        <w:tc>
          <w:tcPr>
            <w:tcW w:w="3855" w:type="dxa"/>
            <w:gridSpan w:val="2"/>
            <w:tcBorders>
              <w:top w:val="single" w:sz="6" w:space="0" w:color="auto"/>
              <w:left w:val="single" w:sz="4" w:space="0" w:color="auto"/>
              <w:bottom w:val="single" w:sz="6" w:space="0" w:color="auto"/>
              <w:right w:val="single" w:sz="12" w:space="0" w:color="auto"/>
            </w:tcBorders>
            <w:shd w:val="clear" w:color="auto" w:fill="FFFFFF"/>
          </w:tcPr>
          <w:p w14:paraId="7F995CB3" w14:textId="4693D1C7" w:rsidR="00B563B0" w:rsidRPr="009203EF" w:rsidRDefault="00F55354" w:rsidP="00B563B0">
            <w:pPr>
              <w:shd w:val="clear" w:color="auto" w:fill="FFFFFF"/>
              <w:spacing w:before="30" w:line="270" w:lineRule="exact"/>
              <w:rPr>
                <w:rFonts w:ascii="Arial" w:hAnsi="Arial" w:cs="Arial"/>
                <w:b/>
                <w:sz w:val="21"/>
                <w:szCs w:val="21"/>
              </w:rPr>
            </w:pPr>
            <w:r w:rsidRPr="00F55354">
              <w:rPr>
                <w:rFonts w:ascii="Calibri" w:eastAsia="Calibri" w:hAnsi="Calibri"/>
                <w:sz w:val="22"/>
                <w:szCs w:val="22"/>
                <w:lang w:eastAsia="en-US"/>
              </w:rPr>
              <w:t>Zgodnie z załącznikiem „standard wykończenia”.</w:t>
            </w:r>
          </w:p>
        </w:tc>
      </w:tr>
      <w:tr w:rsidR="00B563B0" w:rsidRPr="00015907" w14:paraId="7DCA0FD0" w14:textId="77777777" w:rsidTr="00B563B0">
        <w:tblPrEx>
          <w:tblCellMar>
            <w:left w:w="40" w:type="dxa"/>
            <w:right w:w="40" w:type="dxa"/>
          </w:tblCellMar>
        </w:tblPrEx>
        <w:trPr>
          <w:trHeight w:val="510"/>
        </w:trPr>
        <w:tc>
          <w:tcPr>
            <w:tcW w:w="3200" w:type="dxa"/>
            <w:vMerge/>
            <w:tcBorders>
              <w:left w:val="single" w:sz="12" w:space="0" w:color="auto"/>
              <w:bottom w:val="single" w:sz="4" w:space="0" w:color="auto"/>
              <w:right w:val="single" w:sz="6" w:space="0" w:color="auto"/>
            </w:tcBorders>
            <w:shd w:val="clear" w:color="auto" w:fill="F2F2F2" w:themeFill="background1" w:themeFillShade="F2"/>
          </w:tcPr>
          <w:p w14:paraId="6D43170B" w14:textId="77777777" w:rsidR="00B563B0" w:rsidRPr="008F2834" w:rsidRDefault="00B563B0" w:rsidP="00B563B0">
            <w:pPr>
              <w:spacing w:before="40" w:after="10" w:line="26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41D7E241" w14:textId="77777777" w:rsidR="00B563B0" w:rsidRPr="008F2834" w:rsidRDefault="00B563B0" w:rsidP="00B563B0">
            <w:pPr>
              <w:spacing w:before="20" w:after="10" w:line="260" w:lineRule="exact"/>
              <w:ind w:left="57" w:right="-57"/>
            </w:pPr>
            <w:r w:rsidRPr="004053A8">
              <w:t>Liczba lokali w budynku</w:t>
            </w:r>
          </w:p>
        </w:tc>
        <w:tc>
          <w:tcPr>
            <w:tcW w:w="3855" w:type="dxa"/>
            <w:gridSpan w:val="2"/>
            <w:tcBorders>
              <w:top w:val="single" w:sz="6" w:space="0" w:color="auto"/>
              <w:left w:val="single" w:sz="4" w:space="0" w:color="auto"/>
              <w:bottom w:val="single" w:sz="6" w:space="0" w:color="auto"/>
              <w:right w:val="single" w:sz="12" w:space="0" w:color="auto"/>
            </w:tcBorders>
            <w:shd w:val="clear" w:color="auto" w:fill="FFFFFF"/>
          </w:tcPr>
          <w:p w14:paraId="120FA8C4" w14:textId="5C4EB9A8" w:rsidR="00B563B0" w:rsidRPr="00F55354" w:rsidRDefault="00F55354" w:rsidP="00B563B0">
            <w:pPr>
              <w:shd w:val="clear" w:color="auto" w:fill="FFFFFF"/>
              <w:spacing w:before="30" w:line="270" w:lineRule="exact"/>
              <w:rPr>
                <w:bCs/>
                <w:sz w:val="21"/>
                <w:szCs w:val="21"/>
              </w:rPr>
            </w:pPr>
            <w:r>
              <w:rPr>
                <w:bCs/>
                <w:sz w:val="21"/>
                <w:szCs w:val="21"/>
              </w:rPr>
              <w:t>2</w:t>
            </w:r>
          </w:p>
        </w:tc>
      </w:tr>
      <w:tr w:rsidR="00B563B0" w:rsidRPr="00015907" w14:paraId="4CFC8623" w14:textId="77777777" w:rsidTr="00B563B0">
        <w:tblPrEx>
          <w:tblCellMar>
            <w:left w:w="40" w:type="dxa"/>
            <w:right w:w="40" w:type="dxa"/>
          </w:tblCellMar>
        </w:tblPrEx>
        <w:trPr>
          <w:trHeight w:val="794"/>
        </w:trPr>
        <w:tc>
          <w:tcPr>
            <w:tcW w:w="3200" w:type="dxa"/>
            <w:vMerge/>
            <w:tcBorders>
              <w:left w:val="single" w:sz="12" w:space="0" w:color="auto"/>
              <w:bottom w:val="single" w:sz="4" w:space="0" w:color="auto"/>
              <w:right w:val="single" w:sz="6" w:space="0" w:color="auto"/>
            </w:tcBorders>
            <w:shd w:val="clear" w:color="auto" w:fill="F2F2F2" w:themeFill="background1" w:themeFillShade="F2"/>
            <w:vAlign w:val="center"/>
          </w:tcPr>
          <w:p w14:paraId="4BCD89A2" w14:textId="77777777" w:rsidR="00B563B0" w:rsidRPr="008F2834" w:rsidRDefault="00B563B0" w:rsidP="00B563B0">
            <w:pPr>
              <w:spacing w:before="40" w:after="10" w:line="26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2725FB6C" w14:textId="77777777" w:rsidR="00B563B0" w:rsidRPr="008F2834" w:rsidRDefault="00B563B0" w:rsidP="00B563B0">
            <w:pPr>
              <w:spacing w:before="20" w:after="10" w:line="260" w:lineRule="exact"/>
              <w:ind w:left="57" w:right="-57"/>
            </w:pPr>
            <w:r w:rsidRPr="004053A8">
              <w:t>Liczba miejsc garażowych</w:t>
            </w:r>
            <w:r>
              <w:br/>
            </w:r>
            <w:r w:rsidRPr="004053A8">
              <w:t>i postojowych</w:t>
            </w:r>
          </w:p>
        </w:tc>
        <w:tc>
          <w:tcPr>
            <w:tcW w:w="3855" w:type="dxa"/>
            <w:gridSpan w:val="2"/>
            <w:tcBorders>
              <w:top w:val="single" w:sz="6" w:space="0" w:color="auto"/>
              <w:left w:val="single" w:sz="4" w:space="0" w:color="auto"/>
              <w:bottom w:val="single" w:sz="6" w:space="0" w:color="auto"/>
              <w:right w:val="single" w:sz="12" w:space="0" w:color="auto"/>
            </w:tcBorders>
            <w:shd w:val="clear" w:color="auto" w:fill="FFFFFF"/>
          </w:tcPr>
          <w:p w14:paraId="772B2377" w14:textId="0DC431A2" w:rsidR="00B563B0" w:rsidRPr="009203EF" w:rsidRDefault="00F55354" w:rsidP="00B563B0">
            <w:pPr>
              <w:shd w:val="clear" w:color="auto" w:fill="FFFFFF"/>
              <w:spacing w:before="30" w:line="270" w:lineRule="exact"/>
              <w:rPr>
                <w:rFonts w:ascii="Arial" w:hAnsi="Arial" w:cs="Arial"/>
                <w:b/>
                <w:sz w:val="21"/>
                <w:szCs w:val="21"/>
              </w:rPr>
            </w:pPr>
            <w:r w:rsidRPr="00F55354">
              <w:rPr>
                <w:rFonts w:ascii="Calibri" w:eastAsia="Calibri" w:hAnsi="Calibri"/>
                <w:sz w:val="22"/>
                <w:szCs w:val="22"/>
                <w:lang w:eastAsia="en-US"/>
              </w:rPr>
              <w:t>2 dla lokalu</w:t>
            </w:r>
          </w:p>
        </w:tc>
      </w:tr>
      <w:tr w:rsidR="00B563B0" w:rsidRPr="00015907" w14:paraId="1AE9439B" w14:textId="77777777" w:rsidTr="00B563B0">
        <w:tblPrEx>
          <w:tblCellMar>
            <w:left w:w="40" w:type="dxa"/>
            <w:right w:w="40" w:type="dxa"/>
          </w:tblCellMar>
        </w:tblPrEx>
        <w:trPr>
          <w:trHeight w:val="510"/>
        </w:trPr>
        <w:tc>
          <w:tcPr>
            <w:tcW w:w="3200" w:type="dxa"/>
            <w:vMerge/>
            <w:tcBorders>
              <w:left w:val="single" w:sz="12" w:space="0" w:color="auto"/>
              <w:bottom w:val="single" w:sz="4" w:space="0" w:color="auto"/>
              <w:right w:val="single" w:sz="6" w:space="0" w:color="auto"/>
            </w:tcBorders>
            <w:shd w:val="clear" w:color="auto" w:fill="F2F2F2" w:themeFill="background1" w:themeFillShade="F2"/>
          </w:tcPr>
          <w:p w14:paraId="0EB2DAF0" w14:textId="77777777" w:rsidR="00B563B0" w:rsidRPr="008F2834" w:rsidRDefault="00B563B0" w:rsidP="00B563B0">
            <w:pPr>
              <w:spacing w:before="40" w:after="10" w:line="26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7E85E414" w14:textId="77777777" w:rsidR="00B563B0" w:rsidRPr="008F2834" w:rsidRDefault="00B563B0" w:rsidP="00B563B0">
            <w:pPr>
              <w:spacing w:before="20" w:after="10" w:line="260" w:lineRule="exact"/>
              <w:ind w:left="57" w:right="-57"/>
            </w:pPr>
            <w:r w:rsidRPr="004053A8">
              <w:t>Dostępne media w budynku</w:t>
            </w:r>
          </w:p>
        </w:tc>
        <w:tc>
          <w:tcPr>
            <w:tcW w:w="3855" w:type="dxa"/>
            <w:gridSpan w:val="2"/>
            <w:tcBorders>
              <w:top w:val="single" w:sz="6" w:space="0" w:color="auto"/>
              <w:left w:val="single" w:sz="4" w:space="0" w:color="auto"/>
              <w:bottom w:val="single" w:sz="6" w:space="0" w:color="auto"/>
              <w:right w:val="single" w:sz="12" w:space="0" w:color="auto"/>
            </w:tcBorders>
            <w:shd w:val="clear" w:color="auto" w:fill="FFFFFF"/>
          </w:tcPr>
          <w:p w14:paraId="718BCAA0" w14:textId="64EF70CB" w:rsidR="00B563B0" w:rsidRPr="009203EF" w:rsidRDefault="00F55354" w:rsidP="00B563B0">
            <w:pPr>
              <w:shd w:val="clear" w:color="auto" w:fill="FFFFFF"/>
              <w:spacing w:before="30" w:line="270" w:lineRule="exact"/>
              <w:rPr>
                <w:rFonts w:ascii="Arial" w:hAnsi="Arial" w:cs="Arial"/>
                <w:b/>
                <w:sz w:val="21"/>
                <w:szCs w:val="21"/>
              </w:rPr>
            </w:pPr>
            <w:r w:rsidRPr="00F55354">
              <w:rPr>
                <w:rFonts w:ascii="Calibri" w:eastAsia="Calibri" w:hAnsi="Calibri"/>
                <w:sz w:val="22"/>
                <w:szCs w:val="22"/>
                <w:lang w:eastAsia="en-US"/>
              </w:rPr>
              <w:t>Woda, prąd, gaz ziemny</w:t>
            </w:r>
          </w:p>
        </w:tc>
      </w:tr>
      <w:tr w:rsidR="00B563B0" w:rsidRPr="00015907" w14:paraId="097542B7" w14:textId="77777777" w:rsidTr="00B563B0">
        <w:tblPrEx>
          <w:tblCellMar>
            <w:left w:w="40" w:type="dxa"/>
            <w:right w:w="40" w:type="dxa"/>
          </w:tblCellMar>
        </w:tblPrEx>
        <w:trPr>
          <w:trHeight w:val="510"/>
        </w:trPr>
        <w:tc>
          <w:tcPr>
            <w:tcW w:w="3200" w:type="dxa"/>
            <w:vMerge/>
            <w:tcBorders>
              <w:left w:val="single" w:sz="12" w:space="0" w:color="auto"/>
              <w:bottom w:val="single" w:sz="4" w:space="0" w:color="auto"/>
              <w:right w:val="single" w:sz="6" w:space="0" w:color="auto"/>
            </w:tcBorders>
            <w:shd w:val="clear" w:color="auto" w:fill="F2F2F2" w:themeFill="background1" w:themeFillShade="F2"/>
            <w:vAlign w:val="center"/>
          </w:tcPr>
          <w:p w14:paraId="01D33EF2" w14:textId="77777777" w:rsidR="00B563B0" w:rsidRPr="008F2834" w:rsidRDefault="00B563B0" w:rsidP="00B563B0">
            <w:pPr>
              <w:spacing w:before="40" w:after="10" w:line="25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20226EC8" w14:textId="77777777" w:rsidR="00B563B0" w:rsidRPr="008F2834" w:rsidRDefault="00B563B0" w:rsidP="00B563B0">
            <w:pPr>
              <w:spacing w:before="20" w:after="10" w:line="260" w:lineRule="exact"/>
              <w:ind w:left="57" w:right="-57"/>
            </w:pPr>
            <w:r w:rsidRPr="004053A8">
              <w:t>Dostęp do drogi publicznej</w:t>
            </w:r>
          </w:p>
        </w:tc>
        <w:tc>
          <w:tcPr>
            <w:tcW w:w="3855" w:type="dxa"/>
            <w:gridSpan w:val="2"/>
            <w:tcBorders>
              <w:top w:val="single" w:sz="6" w:space="0" w:color="auto"/>
              <w:left w:val="single" w:sz="4" w:space="0" w:color="auto"/>
              <w:bottom w:val="single" w:sz="6" w:space="0" w:color="auto"/>
              <w:right w:val="single" w:sz="12" w:space="0" w:color="auto"/>
            </w:tcBorders>
            <w:shd w:val="clear" w:color="auto" w:fill="FFFFFF"/>
          </w:tcPr>
          <w:p w14:paraId="6400B038" w14:textId="11BA0DF5" w:rsidR="00B563B0" w:rsidRPr="009203EF" w:rsidRDefault="00F55354" w:rsidP="00B563B0">
            <w:pPr>
              <w:shd w:val="clear" w:color="auto" w:fill="FFFFFF"/>
              <w:spacing w:before="30" w:line="270" w:lineRule="exact"/>
              <w:rPr>
                <w:rFonts w:ascii="Arial" w:hAnsi="Arial" w:cs="Arial"/>
                <w:b/>
                <w:sz w:val="21"/>
                <w:szCs w:val="21"/>
              </w:rPr>
            </w:pPr>
            <w:r w:rsidRPr="00F55354">
              <w:rPr>
                <w:rFonts w:ascii="Calibri" w:eastAsia="Calibri" w:hAnsi="Calibri"/>
                <w:sz w:val="22"/>
                <w:szCs w:val="22"/>
                <w:lang w:eastAsia="en-US"/>
              </w:rPr>
              <w:t>tak</w:t>
            </w:r>
          </w:p>
        </w:tc>
      </w:tr>
      <w:tr w:rsidR="00B563B0" w:rsidRPr="00015907" w14:paraId="5DF6B226" w14:textId="77777777" w:rsidTr="00B563B0">
        <w:tblPrEx>
          <w:tblCellMar>
            <w:left w:w="40" w:type="dxa"/>
            <w:right w:w="40" w:type="dxa"/>
          </w:tblCellMar>
        </w:tblPrEx>
        <w:trPr>
          <w:trHeight w:val="1522"/>
        </w:trPr>
        <w:tc>
          <w:tcPr>
            <w:tcW w:w="320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728D2F4F" w14:textId="77777777" w:rsidR="00B563B0" w:rsidRPr="008F2834" w:rsidRDefault="00B563B0" w:rsidP="00B563B0">
            <w:pPr>
              <w:spacing w:before="20" w:after="10" w:line="260" w:lineRule="exact"/>
              <w:ind w:left="57" w:right="-57"/>
            </w:pPr>
            <w:r w:rsidRPr="009203EF">
              <w:lastRenderedPageBreak/>
              <w:t>Określenie usytuowania lokalu mieszkalnego w budynku, jeżeli przedsięwzięcie deweloperskie lub zadanie inwestycyjne dotyczy lokali mieszkalnych</w:t>
            </w:r>
          </w:p>
        </w:tc>
        <w:tc>
          <w:tcPr>
            <w:tcW w:w="7012" w:type="dxa"/>
            <w:gridSpan w:val="4"/>
            <w:tcBorders>
              <w:top w:val="single" w:sz="6" w:space="0" w:color="auto"/>
              <w:left w:val="single" w:sz="6" w:space="0" w:color="auto"/>
              <w:bottom w:val="single" w:sz="6" w:space="0" w:color="auto"/>
              <w:right w:val="single" w:sz="12" w:space="0" w:color="auto"/>
            </w:tcBorders>
            <w:shd w:val="clear" w:color="auto" w:fill="FFFFFF"/>
          </w:tcPr>
          <w:p w14:paraId="2D5CD8D2" w14:textId="1551BDDF" w:rsidR="00B563B0" w:rsidRPr="009203EF" w:rsidRDefault="00F55354" w:rsidP="00B563B0">
            <w:pPr>
              <w:shd w:val="clear" w:color="auto" w:fill="FFFFFF"/>
              <w:spacing w:before="30" w:line="270" w:lineRule="exact"/>
              <w:rPr>
                <w:rFonts w:ascii="Arial" w:hAnsi="Arial" w:cs="Arial"/>
                <w:b/>
                <w:sz w:val="21"/>
                <w:szCs w:val="21"/>
              </w:rPr>
            </w:pPr>
            <w:r w:rsidRPr="00F55354">
              <w:rPr>
                <w:rFonts w:ascii="Calibri" w:eastAsia="Calibri" w:hAnsi="Calibri"/>
                <w:sz w:val="22"/>
                <w:szCs w:val="22"/>
                <w:lang w:eastAsia="en-US"/>
              </w:rPr>
              <w:t>Zgodnie z załącznikiem „karta mieszkania”.</w:t>
            </w:r>
          </w:p>
        </w:tc>
      </w:tr>
      <w:tr w:rsidR="00F55354" w:rsidRPr="00015907" w14:paraId="7FB7B55B" w14:textId="77777777" w:rsidTr="004952D2">
        <w:tblPrEx>
          <w:tblCellMar>
            <w:left w:w="40" w:type="dxa"/>
            <w:right w:w="40" w:type="dxa"/>
          </w:tblCellMar>
        </w:tblPrEx>
        <w:trPr>
          <w:trHeight w:val="1546"/>
        </w:trPr>
        <w:tc>
          <w:tcPr>
            <w:tcW w:w="320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5C1D4F0B" w14:textId="77777777" w:rsidR="00F55354" w:rsidRPr="008F2834" w:rsidRDefault="00F55354" w:rsidP="00F55354">
            <w:pPr>
              <w:spacing w:before="20" w:after="10" w:line="260" w:lineRule="exact"/>
              <w:ind w:left="57" w:right="-57"/>
            </w:pPr>
            <w:r w:rsidRPr="009203EF">
              <w:t>Określenie powierzchni użytkowej</w:t>
            </w:r>
            <w:r>
              <w:br/>
            </w:r>
            <w:r w:rsidRPr="009203EF">
              <w:t>i układu pomieszczeń oraz zakresu</w:t>
            </w:r>
            <w:r>
              <w:br/>
            </w:r>
            <w:r w:rsidRPr="009203EF">
              <w:t>i standardu prac wykończeniowych, do których wykonania zobowiązuje się deweloper</w:t>
            </w:r>
          </w:p>
        </w:tc>
        <w:tc>
          <w:tcPr>
            <w:tcW w:w="7012" w:type="dxa"/>
            <w:gridSpan w:val="4"/>
          </w:tcPr>
          <w:p w14:paraId="6B6E40C5" w14:textId="033862FF" w:rsidR="00F55354" w:rsidRPr="009203EF" w:rsidRDefault="00F55354" w:rsidP="00F55354">
            <w:pPr>
              <w:shd w:val="clear" w:color="auto" w:fill="FFFFFF"/>
              <w:spacing w:before="30" w:line="270" w:lineRule="exact"/>
              <w:rPr>
                <w:rFonts w:ascii="Arial" w:hAnsi="Arial" w:cs="Arial"/>
                <w:b/>
                <w:sz w:val="21"/>
                <w:szCs w:val="21"/>
              </w:rPr>
            </w:pPr>
            <w:r w:rsidRPr="007C54C3">
              <w:t>Zgodnie z załącznikiem „standard wykończenia” i „karta mieszkania”.</w:t>
            </w:r>
          </w:p>
        </w:tc>
      </w:tr>
      <w:tr w:rsidR="00F55354" w:rsidRPr="00015907" w14:paraId="525F43E9" w14:textId="77777777" w:rsidTr="00B563B0">
        <w:tblPrEx>
          <w:tblCellMar>
            <w:left w:w="40" w:type="dxa"/>
            <w:right w:w="40" w:type="dxa"/>
          </w:tblCellMar>
        </w:tblPrEx>
        <w:trPr>
          <w:trHeight w:val="1114"/>
        </w:trPr>
        <w:tc>
          <w:tcPr>
            <w:tcW w:w="320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45B56490" w14:textId="77777777" w:rsidR="00F55354" w:rsidRPr="008F2834" w:rsidRDefault="00F55354" w:rsidP="00F55354">
            <w:pPr>
              <w:spacing w:before="20" w:after="10" w:line="260" w:lineRule="exact"/>
              <w:ind w:left="57" w:right="-57"/>
            </w:pPr>
            <w:r w:rsidRPr="009203EF">
              <w:t>Data wydania zaświadczenia</w:t>
            </w:r>
            <w:r>
              <w:br/>
            </w:r>
            <w:r w:rsidRPr="009203EF">
              <w:t>o</w:t>
            </w:r>
            <w:r>
              <w:t xml:space="preserve"> </w:t>
            </w:r>
            <w:r w:rsidRPr="009203EF">
              <w:t>samodzielności lokalu</w:t>
            </w:r>
            <w:r>
              <w:br/>
            </w:r>
            <w:r w:rsidRPr="009203EF">
              <w:t>mieszkalnego</w:t>
            </w:r>
          </w:p>
        </w:tc>
        <w:tc>
          <w:tcPr>
            <w:tcW w:w="7012" w:type="dxa"/>
            <w:gridSpan w:val="4"/>
            <w:tcBorders>
              <w:top w:val="single" w:sz="6" w:space="0" w:color="auto"/>
              <w:left w:val="single" w:sz="6" w:space="0" w:color="auto"/>
              <w:bottom w:val="single" w:sz="6" w:space="0" w:color="auto"/>
              <w:right w:val="single" w:sz="12" w:space="0" w:color="auto"/>
            </w:tcBorders>
            <w:shd w:val="clear" w:color="auto" w:fill="FFFFFF"/>
          </w:tcPr>
          <w:p w14:paraId="5ADFAF91" w14:textId="1A4562ED" w:rsidR="00F55354" w:rsidRPr="009203EF" w:rsidRDefault="00F55354" w:rsidP="00F55354">
            <w:pPr>
              <w:shd w:val="clear" w:color="auto" w:fill="FFFFFF"/>
              <w:spacing w:before="30" w:line="270" w:lineRule="exact"/>
              <w:rPr>
                <w:rFonts w:ascii="Arial" w:hAnsi="Arial" w:cs="Arial"/>
                <w:b/>
                <w:sz w:val="21"/>
                <w:szCs w:val="21"/>
              </w:rPr>
            </w:pPr>
            <w:r w:rsidRPr="00F55354">
              <w:rPr>
                <w:rFonts w:ascii="Calibri" w:eastAsia="Calibri" w:hAnsi="Calibri"/>
                <w:sz w:val="22"/>
                <w:szCs w:val="22"/>
                <w:lang w:eastAsia="en-US"/>
              </w:rPr>
              <w:t>Do 31.07.2026 r.</w:t>
            </w:r>
          </w:p>
        </w:tc>
      </w:tr>
      <w:tr w:rsidR="00F55354" w:rsidRPr="00015907" w14:paraId="6CAEDE06" w14:textId="77777777" w:rsidTr="00B563B0">
        <w:tblPrEx>
          <w:tblCellMar>
            <w:left w:w="40" w:type="dxa"/>
            <w:right w:w="40" w:type="dxa"/>
          </w:tblCellMar>
        </w:tblPrEx>
        <w:trPr>
          <w:trHeight w:val="754"/>
        </w:trPr>
        <w:tc>
          <w:tcPr>
            <w:tcW w:w="320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2BBD339D" w14:textId="77777777" w:rsidR="00F55354" w:rsidRPr="008F2834" w:rsidRDefault="00F55354" w:rsidP="00F55354">
            <w:pPr>
              <w:spacing w:before="20" w:after="10" w:line="260" w:lineRule="exact"/>
              <w:ind w:left="57" w:right="-57"/>
            </w:pPr>
            <w:r w:rsidRPr="009203EF">
              <w:t xml:space="preserve">Data ustanowienia odrębnej </w:t>
            </w:r>
            <w:r>
              <w:br/>
            </w:r>
            <w:r w:rsidRPr="009203EF">
              <w:t>własności lokalu mieszkalnego</w:t>
            </w:r>
          </w:p>
        </w:tc>
        <w:tc>
          <w:tcPr>
            <w:tcW w:w="7012" w:type="dxa"/>
            <w:gridSpan w:val="4"/>
            <w:tcBorders>
              <w:top w:val="single" w:sz="6" w:space="0" w:color="auto"/>
              <w:left w:val="single" w:sz="6" w:space="0" w:color="auto"/>
              <w:bottom w:val="single" w:sz="6" w:space="0" w:color="auto"/>
              <w:right w:val="single" w:sz="12" w:space="0" w:color="auto"/>
            </w:tcBorders>
            <w:shd w:val="clear" w:color="auto" w:fill="FFFFFF"/>
          </w:tcPr>
          <w:p w14:paraId="1471CC14" w14:textId="5744FA77" w:rsidR="00F55354" w:rsidRPr="009203EF" w:rsidRDefault="00F55354" w:rsidP="00F55354">
            <w:pPr>
              <w:shd w:val="clear" w:color="auto" w:fill="FFFFFF"/>
              <w:spacing w:before="30" w:line="270" w:lineRule="exact"/>
              <w:rPr>
                <w:rFonts w:ascii="Arial" w:hAnsi="Arial" w:cs="Arial"/>
                <w:b/>
                <w:sz w:val="21"/>
                <w:szCs w:val="21"/>
              </w:rPr>
            </w:pPr>
            <w:r w:rsidRPr="00F55354">
              <w:rPr>
                <w:rFonts w:ascii="Calibri" w:eastAsia="Calibri" w:hAnsi="Calibri"/>
                <w:sz w:val="22"/>
                <w:szCs w:val="22"/>
                <w:lang w:eastAsia="en-US"/>
              </w:rPr>
              <w:t>Do 31.07.2026 r.</w:t>
            </w:r>
          </w:p>
        </w:tc>
      </w:tr>
      <w:tr w:rsidR="00F55354" w:rsidRPr="00015907" w14:paraId="768B5E6A" w14:textId="77777777" w:rsidTr="00B563B0">
        <w:tblPrEx>
          <w:tblCellMar>
            <w:left w:w="40" w:type="dxa"/>
            <w:right w:w="40" w:type="dxa"/>
          </w:tblCellMar>
        </w:tblPrEx>
        <w:trPr>
          <w:trHeight w:val="1285"/>
        </w:trPr>
        <w:tc>
          <w:tcPr>
            <w:tcW w:w="320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0B888651" w14:textId="77777777" w:rsidR="00F55354" w:rsidRPr="008F2834" w:rsidRDefault="00F55354" w:rsidP="00F55354">
            <w:pPr>
              <w:spacing w:before="20" w:after="10" w:line="260" w:lineRule="exact"/>
              <w:ind w:left="57" w:right="-57"/>
            </w:pPr>
            <w:r w:rsidRPr="009203EF">
              <w:t>Informacje o lokalu użytkowym nabywanym równocześnie z lokalem mieszkalnym albo domem jednorodzinnym</w:t>
            </w:r>
          </w:p>
        </w:tc>
        <w:tc>
          <w:tcPr>
            <w:tcW w:w="7012" w:type="dxa"/>
            <w:gridSpan w:val="4"/>
            <w:tcBorders>
              <w:top w:val="single" w:sz="6" w:space="0" w:color="auto"/>
              <w:left w:val="single" w:sz="6" w:space="0" w:color="auto"/>
              <w:bottom w:val="single" w:sz="6" w:space="0" w:color="auto"/>
              <w:right w:val="single" w:sz="12" w:space="0" w:color="auto"/>
            </w:tcBorders>
            <w:shd w:val="clear" w:color="auto" w:fill="FFFFFF"/>
          </w:tcPr>
          <w:p w14:paraId="0F9587E7" w14:textId="368E7628" w:rsidR="00F55354" w:rsidRPr="009203EF" w:rsidRDefault="00F55354" w:rsidP="00F55354">
            <w:pPr>
              <w:shd w:val="clear" w:color="auto" w:fill="FFFFFF"/>
              <w:spacing w:before="30" w:line="270" w:lineRule="exact"/>
              <w:rPr>
                <w:rFonts w:ascii="Arial" w:hAnsi="Arial" w:cs="Arial"/>
                <w:b/>
                <w:sz w:val="21"/>
                <w:szCs w:val="21"/>
              </w:rPr>
            </w:pPr>
            <w:r w:rsidRPr="00F55354">
              <w:rPr>
                <w:rFonts w:ascii="Calibri" w:eastAsia="Calibri" w:hAnsi="Calibri"/>
                <w:sz w:val="22"/>
                <w:szCs w:val="22"/>
                <w:lang w:eastAsia="en-US"/>
              </w:rPr>
              <w:t>Nie dotyczy</w:t>
            </w:r>
          </w:p>
        </w:tc>
      </w:tr>
      <w:tr w:rsidR="00F55354" w:rsidRPr="00015907" w14:paraId="436346EB" w14:textId="77777777" w:rsidTr="00B563B0">
        <w:tblPrEx>
          <w:tblCellMar>
            <w:left w:w="40" w:type="dxa"/>
            <w:right w:w="40" w:type="dxa"/>
          </w:tblCellMar>
        </w:tblPrEx>
        <w:trPr>
          <w:trHeight w:val="1045"/>
        </w:trPr>
        <w:tc>
          <w:tcPr>
            <w:tcW w:w="320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Pr>
          <w:p w14:paraId="5BB1FCDF" w14:textId="77777777" w:rsidR="00F55354" w:rsidRPr="008F2834" w:rsidRDefault="00F55354" w:rsidP="00F55354">
            <w:pPr>
              <w:spacing w:before="20" w:after="10" w:line="260" w:lineRule="exact"/>
              <w:ind w:left="57" w:right="-57"/>
            </w:pPr>
            <w:r w:rsidRPr="009203EF">
              <w:t>Cenę lokalu użytkowego albo ułamkowej części własności lokalu użytkowego</w:t>
            </w:r>
          </w:p>
        </w:tc>
        <w:tc>
          <w:tcPr>
            <w:tcW w:w="7012" w:type="dxa"/>
            <w:gridSpan w:val="4"/>
            <w:tcBorders>
              <w:top w:val="single" w:sz="6" w:space="0" w:color="auto"/>
              <w:left w:val="single" w:sz="6" w:space="0" w:color="auto"/>
              <w:bottom w:val="single" w:sz="6" w:space="0" w:color="auto"/>
              <w:right w:val="single" w:sz="12" w:space="0" w:color="auto"/>
            </w:tcBorders>
            <w:shd w:val="clear" w:color="auto" w:fill="FFFFFF"/>
          </w:tcPr>
          <w:p w14:paraId="563ED44C" w14:textId="44D44E41" w:rsidR="00F55354" w:rsidRPr="009203EF" w:rsidRDefault="00F55354" w:rsidP="00F55354">
            <w:pPr>
              <w:shd w:val="clear" w:color="auto" w:fill="FFFFFF"/>
              <w:spacing w:before="30" w:line="270" w:lineRule="exact"/>
              <w:rPr>
                <w:rFonts w:ascii="Arial" w:hAnsi="Arial" w:cs="Arial"/>
                <w:b/>
                <w:sz w:val="21"/>
                <w:szCs w:val="21"/>
              </w:rPr>
            </w:pPr>
            <w:r w:rsidRPr="00F55354">
              <w:rPr>
                <w:rFonts w:ascii="Calibri" w:eastAsia="Calibri" w:hAnsi="Calibri"/>
                <w:sz w:val="22"/>
                <w:szCs w:val="22"/>
                <w:lang w:eastAsia="en-US"/>
              </w:rPr>
              <w:t>Nie dotyczy</w:t>
            </w:r>
          </w:p>
        </w:tc>
      </w:tr>
      <w:tr w:rsidR="00F55354" w:rsidRPr="00015907" w14:paraId="78CB39A5" w14:textId="77777777" w:rsidTr="00B563B0">
        <w:tblPrEx>
          <w:tblCellMar>
            <w:left w:w="40" w:type="dxa"/>
            <w:right w:w="40" w:type="dxa"/>
          </w:tblCellMar>
        </w:tblPrEx>
        <w:trPr>
          <w:trHeight w:val="1425"/>
        </w:trPr>
        <w:tc>
          <w:tcPr>
            <w:tcW w:w="3200" w:type="dxa"/>
            <w:tcBorders>
              <w:top w:val="single" w:sz="6" w:space="0" w:color="auto"/>
              <w:left w:val="single" w:sz="12" w:space="0" w:color="auto"/>
              <w:bottom w:val="single" w:sz="12" w:space="0" w:color="auto"/>
              <w:right w:val="single" w:sz="6" w:space="0" w:color="auto"/>
            </w:tcBorders>
            <w:shd w:val="clear" w:color="auto" w:fill="F2F2F2" w:themeFill="background1" w:themeFillShade="F2"/>
          </w:tcPr>
          <w:p w14:paraId="52A48102" w14:textId="77777777" w:rsidR="00F55354" w:rsidRPr="008F2834" w:rsidRDefault="00F55354" w:rsidP="00F55354">
            <w:pPr>
              <w:spacing w:before="20" w:after="10" w:line="260" w:lineRule="exact"/>
              <w:ind w:left="57" w:right="-57"/>
            </w:pPr>
            <w:r w:rsidRPr="009203EF">
              <w:t xml:space="preserve">Termin, do którego nastąpi </w:t>
            </w:r>
            <w:r>
              <w:br/>
            </w:r>
            <w:r w:rsidRPr="009203EF">
              <w:t>przeniesienie prawa własności lokalu użytkowego albo ułamkowej części własności lokalu użytkowego</w:t>
            </w:r>
          </w:p>
        </w:tc>
        <w:tc>
          <w:tcPr>
            <w:tcW w:w="7012" w:type="dxa"/>
            <w:gridSpan w:val="4"/>
            <w:tcBorders>
              <w:top w:val="single" w:sz="6" w:space="0" w:color="auto"/>
              <w:left w:val="single" w:sz="6" w:space="0" w:color="auto"/>
              <w:bottom w:val="single" w:sz="12" w:space="0" w:color="auto"/>
              <w:right w:val="single" w:sz="12" w:space="0" w:color="auto"/>
            </w:tcBorders>
            <w:shd w:val="clear" w:color="auto" w:fill="FFFFFF"/>
          </w:tcPr>
          <w:p w14:paraId="0BF60930" w14:textId="79E47DEE" w:rsidR="00F55354" w:rsidRPr="009203EF" w:rsidRDefault="00F55354" w:rsidP="00F55354">
            <w:pPr>
              <w:shd w:val="clear" w:color="auto" w:fill="FFFFFF"/>
              <w:spacing w:before="30" w:line="270" w:lineRule="exact"/>
              <w:rPr>
                <w:rFonts w:ascii="Arial" w:hAnsi="Arial" w:cs="Arial"/>
                <w:b/>
                <w:sz w:val="21"/>
                <w:szCs w:val="21"/>
              </w:rPr>
            </w:pPr>
            <w:r w:rsidRPr="00F55354">
              <w:rPr>
                <w:rFonts w:ascii="Calibri" w:eastAsia="Calibri" w:hAnsi="Calibri"/>
                <w:sz w:val="22"/>
                <w:szCs w:val="22"/>
                <w:lang w:eastAsia="en-US"/>
              </w:rPr>
              <w:t>Nie dotyczy</w:t>
            </w:r>
          </w:p>
        </w:tc>
      </w:tr>
      <w:tr w:rsidR="00F55354" w:rsidRPr="00130AA3" w14:paraId="78A314A3" w14:textId="77777777" w:rsidTr="00B563B0">
        <w:trPr>
          <w:trHeight w:hRule="exact" w:val="899"/>
        </w:trPr>
        <w:tc>
          <w:tcPr>
            <w:tcW w:w="10212" w:type="dxa"/>
            <w:gridSpan w:val="5"/>
            <w:vAlign w:val="center"/>
          </w:tcPr>
          <w:p w14:paraId="276F6C86" w14:textId="77777777" w:rsidR="00F55354" w:rsidRPr="00130AA3" w:rsidRDefault="00F55354" w:rsidP="00F55354">
            <w:pPr>
              <w:spacing w:line="260" w:lineRule="exact"/>
              <w:ind w:left="-57" w:right="-57"/>
              <w:jc w:val="right"/>
              <w:rPr>
                <w:b/>
                <w:bCs/>
              </w:rPr>
            </w:pPr>
            <w:r w:rsidRPr="009203EF">
              <w:rPr>
                <w:b/>
                <w:bCs/>
              </w:rPr>
              <w:t>Podpis dewelopera albo osoby upoważnionej do reprezentacji dewelopera</w:t>
            </w:r>
          </w:p>
        </w:tc>
      </w:tr>
      <w:tr w:rsidR="00F55354" w:rsidRPr="00015907" w14:paraId="1BDCB451" w14:textId="77777777" w:rsidTr="00B563B0">
        <w:trPr>
          <w:trHeight w:hRule="exact" w:val="531"/>
        </w:trPr>
        <w:tc>
          <w:tcPr>
            <w:tcW w:w="5707" w:type="dxa"/>
            <w:gridSpan w:val="2"/>
            <w:vAlign w:val="bottom"/>
          </w:tcPr>
          <w:p w14:paraId="235BA7C1" w14:textId="77777777" w:rsidR="00F55354" w:rsidRPr="00194B92" w:rsidRDefault="00F55354" w:rsidP="00F55354">
            <w:pPr>
              <w:spacing w:after="240" w:line="260" w:lineRule="exact"/>
              <w:ind w:left="-57" w:right="-57"/>
              <w:rPr>
                <w:rFonts w:ascii="Arial" w:hAnsi="Arial" w:cs="Arial"/>
                <w:b/>
                <w:bCs/>
                <w:sz w:val="19"/>
                <w:szCs w:val="19"/>
              </w:rPr>
            </w:pPr>
          </w:p>
        </w:tc>
        <w:tc>
          <w:tcPr>
            <w:tcW w:w="3700" w:type="dxa"/>
            <w:gridSpan w:val="2"/>
            <w:tcBorders>
              <w:bottom w:val="dotted" w:sz="12" w:space="0" w:color="auto"/>
            </w:tcBorders>
            <w:vAlign w:val="bottom"/>
          </w:tcPr>
          <w:p w14:paraId="0E3F5861" w14:textId="4EC90CB6" w:rsidR="00F55354" w:rsidRPr="00194B92" w:rsidRDefault="00F55354" w:rsidP="00F55354">
            <w:pPr>
              <w:spacing w:after="240" w:line="260" w:lineRule="exact"/>
              <w:ind w:left="-57" w:right="-57"/>
              <w:rPr>
                <w:rFonts w:ascii="Arial" w:hAnsi="Arial" w:cs="Arial"/>
                <w:b/>
                <w:bCs/>
                <w:sz w:val="19"/>
                <w:szCs w:val="19"/>
              </w:rPr>
            </w:pPr>
          </w:p>
        </w:tc>
        <w:tc>
          <w:tcPr>
            <w:tcW w:w="805" w:type="dxa"/>
            <w:vAlign w:val="bottom"/>
          </w:tcPr>
          <w:p w14:paraId="2F2E3CBC" w14:textId="77777777" w:rsidR="00F55354" w:rsidRPr="00194B92" w:rsidRDefault="00F55354" w:rsidP="00F55354">
            <w:pPr>
              <w:spacing w:after="240" w:line="260" w:lineRule="exact"/>
              <w:ind w:left="-57" w:right="-57"/>
              <w:rPr>
                <w:rFonts w:ascii="Arial" w:hAnsi="Arial" w:cs="Arial"/>
                <w:b/>
                <w:bCs/>
                <w:sz w:val="19"/>
                <w:szCs w:val="19"/>
              </w:rPr>
            </w:pPr>
          </w:p>
        </w:tc>
      </w:tr>
    </w:tbl>
    <w:p w14:paraId="7CFE4DDB" w14:textId="77777777" w:rsidR="009203EF" w:rsidRDefault="009203EF" w:rsidP="00130AA3">
      <w:pPr>
        <w:autoSpaceDE w:val="0"/>
        <w:autoSpaceDN w:val="0"/>
        <w:adjustRightInd w:val="0"/>
        <w:spacing w:line="260" w:lineRule="exact"/>
        <w:ind w:left="-102"/>
        <w:rPr>
          <w:b/>
          <w:bCs/>
        </w:rPr>
      </w:pPr>
    </w:p>
    <w:p w14:paraId="42FDC0DF" w14:textId="77777777" w:rsidR="009203EF" w:rsidRDefault="009203EF" w:rsidP="009203EF">
      <w:pPr>
        <w:pBdr>
          <w:top w:val="single" w:sz="12" w:space="1" w:color="auto"/>
        </w:pBdr>
        <w:autoSpaceDE w:val="0"/>
        <w:autoSpaceDN w:val="0"/>
        <w:adjustRightInd w:val="0"/>
        <w:spacing w:line="260" w:lineRule="exact"/>
        <w:ind w:left="-102"/>
        <w:rPr>
          <w:b/>
          <w:bCs/>
        </w:rPr>
      </w:pPr>
    </w:p>
    <w:p w14:paraId="1BDCFDA9" w14:textId="77777777" w:rsidR="00A7314A" w:rsidRDefault="00A7314A" w:rsidP="00130AA3">
      <w:pPr>
        <w:autoSpaceDE w:val="0"/>
        <w:autoSpaceDN w:val="0"/>
        <w:adjustRightInd w:val="0"/>
        <w:spacing w:line="260" w:lineRule="exact"/>
        <w:ind w:left="-102"/>
        <w:rPr>
          <w:b/>
          <w:bCs/>
        </w:rPr>
      </w:pPr>
      <w:r w:rsidRPr="00130AA3">
        <w:rPr>
          <w:b/>
          <w:bCs/>
        </w:rPr>
        <w:t>Załączniki:</w:t>
      </w:r>
    </w:p>
    <w:p w14:paraId="07FBFD49" w14:textId="77777777" w:rsidR="00A7314A" w:rsidRDefault="009203EF" w:rsidP="009203EF">
      <w:pPr>
        <w:numPr>
          <w:ilvl w:val="0"/>
          <w:numId w:val="4"/>
        </w:numPr>
        <w:autoSpaceDE w:val="0"/>
        <w:autoSpaceDN w:val="0"/>
        <w:adjustRightInd w:val="0"/>
        <w:spacing w:before="120" w:line="260" w:lineRule="exact"/>
      </w:pPr>
      <w:r w:rsidRPr="009203EF">
        <w:t>Rzut kondygnacji z zaznaczeniem lokalu mieszkalnego.</w:t>
      </w:r>
    </w:p>
    <w:p w14:paraId="69309888" w14:textId="77777777" w:rsidR="009203EF" w:rsidRDefault="00C867B8" w:rsidP="009203EF">
      <w:pPr>
        <w:numPr>
          <w:ilvl w:val="0"/>
          <w:numId w:val="4"/>
        </w:numPr>
        <w:autoSpaceDE w:val="0"/>
        <w:autoSpaceDN w:val="0"/>
        <w:adjustRightInd w:val="0"/>
        <w:spacing w:before="120" w:line="260" w:lineRule="exact"/>
        <w:jc w:val="both"/>
      </w:pPr>
      <w:r w:rsidRPr="00C867B8">
        <w:t xml:space="preserve">Wzór umowy deweloperskiej lub umowy, o której mowa w art. 2 ust. 1 pkt 2, 3 lub 5 ustawy z dnia 20 maja 2021 r. </w:t>
      </w:r>
      <w:r>
        <w:br/>
      </w:r>
      <w:r w:rsidRPr="00C867B8">
        <w:t>o ochronie praw nabywcy lokalu mieszkalnego lub domu jednorodzinnego oraz Deweloperskim Funduszu Gwarancyjnym</w:t>
      </w:r>
      <w:r w:rsidR="009203EF" w:rsidRPr="009203EF">
        <w:t>.</w:t>
      </w:r>
    </w:p>
    <w:p w14:paraId="08589065" w14:textId="64259072" w:rsidR="009203EF" w:rsidRDefault="00C867B8" w:rsidP="009203EF">
      <w:pPr>
        <w:numPr>
          <w:ilvl w:val="0"/>
          <w:numId w:val="4"/>
        </w:numPr>
        <w:autoSpaceDE w:val="0"/>
        <w:autoSpaceDN w:val="0"/>
        <w:adjustRightInd w:val="0"/>
        <w:spacing w:before="120" w:line="260" w:lineRule="exact"/>
        <w:jc w:val="both"/>
      </w:pPr>
      <w:r w:rsidRPr="00C867B8">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48A83740" w14:textId="77777777" w:rsidR="009203EF" w:rsidRDefault="009203EF" w:rsidP="009203EF">
      <w:pPr>
        <w:autoSpaceDE w:val="0"/>
        <w:autoSpaceDN w:val="0"/>
        <w:adjustRightInd w:val="0"/>
        <w:spacing w:line="260" w:lineRule="exact"/>
        <w:ind w:left="-102"/>
        <w:rPr>
          <w:b/>
          <w:bCs/>
        </w:rPr>
      </w:pPr>
    </w:p>
    <w:p w14:paraId="785C73CE" w14:textId="77777777" w:rsidR="009203EF" w:rsidRDefault="009203EF" w:rsidP="009203EF">
      <w:pPr>
        <w:pBdr>
          <w:top w:val="single" w:sz="12" w:space="1" w:color="auto"/>
        </w:pBdr>
        <w:autoSpaceDE w:val="0"/>
        <w:autoSpaceDN w:val="0"/>
        <w:adjustRightInd w:val="0"/>
        <w:spacing w:line="260" w:lineRule="exact"/>
        <w:ind w:left="-102"/>
        <w:rPr>
          <w:b/>
          <w:bCs/>
        </w:rPr>
      </w:pPr>
    </w:p>
    <w:p w14:paraId="0DD392B6" w14:textId="77777777" w:rsidR="009203EF" w:rsidRDefault="009203EF" w:rsidP="009203EF">
      <w:pPr>
        <w:autoSpaceDE w:val="0"/>
        <w:autoSpaceDN w:val="0"/>
        <w:adjustRightInd w:val="0"/>
        <w:spacing w:line="260" w:lineRule="exact"/>
        <w:ind w:left="258"/>
        <w:rPr>
          <w:b/>
          <w:bCs/>
        </w:rPr>
      </w:pPr>
    </w:p>
    <w:p w14:paraId="08B000C0" w14:textId="77777777" w:rsidR="00A7314A" w:rsidRPr="00130AA3" w:rsidRDefault="00A7314A" w:rsidP="00130AA3">
      <w:pPr>
        <w:spacing w:line="260" w:lineRule="exact"/>
        <w:ind w:left="126" w:hanging="228"/>
      </w:pPr>
    </w:p>
    <w:sectPr w:rsidR="00A7314A" w:rsidRPr="00130AA3" w:rsidSect="000026B0">
      <w:pgSz w:w="11906" w:h="16838"/>
      <w:pgMar w:top="964" w:right="624" w:bottom="709" w:left="1077" w:header="709"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F6F9" w14:textId="77777777" w:rsidR="004A1B7A" w:rsidRDefault="004A1B7A">
      <w:r>
        <w:separator/>
      </w:r>
    </w:p>
  </w:endnote>
  <w:endnote w:type="continuationSeparator" w:id="0">
    <w:p w14:paraId="737A33D2" w14:textId="77777777" w:rsidR="004A1B7A" w:rsidRDefault="004A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Univers-PL">
    <w:altName w:val="Arial Unicode MS"/>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PKO Bank Polski">
    <w:altName w:val="Calibri"/>
    <w:charset w:val="EE"/>
    <w:family w:val="swiss"/>
    <w:pitch w:val="variable"/>
    <w:sig w:usb0="800000AF" w:usb1="4000004A"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2E89" w14:textId="77777777" w:rsidR="004A1B7A" w:rsidRDefault="004A1B7A">
      <w:r>
        <w:separator/>
      </w:r>
    </w:p>
  </w:footnote>
  <w:footnote w:type="continuationSeparator" w:id="0">
    <w:p w14:paraId="55358B54" w14:textId="77777777" w:rsidR="004A1B7A" w:rsidRDefault="004A1B7A">
      <w:r>
        <w:continuationSeparator/>
      </w:r>
    </w:p>
  </w:footnote>
  <w:footnote w:id="1">
    <w:p w14:paraId="640C74E7" w14:textId="147CC69A" w:rsidR="000F427A" w:rsidRDefault="000F427A" w:rsidP="000F427A">
      <w:pPr>
        <w:pStyle w:val="Tekstprzypisudolnego"/>
        <w:spacing w:line="220" w:lineRule="exact"/>
        <w:ind w:left="154" w:hanging="154"/>
      </w:pPr>
      <w:r>
        <w:rPr>
          <w:rStyle w:val="Odwoanieprzypisudolnego"/>
        </w:rPr>
        <w:t>43</w:t>
      </w:r>
      <w:r>
        <w:t xml:space="preserve"> </w:t>
      </w:r>
      <w:r w:rsidRPr="000F427A">
        <w:rPr>
          <w:sz w:val="18"/>
          <w:szCs w:val="18"/>
        </w:rPr>
        <w:t xml:space="preserve">Część III w brzmieniu ustalonym w załączniku do ustawy z dnia 7 lipca 2023 r. o zmianie ustawy o planowaniu i zagospodarowaniu przestrzennym oraz niektórych innych ustaw (Dz. U. poz. 1688), na podstawie art. 49 tej ustawy, która weszła w życie z dniem </w:t>
      </w:r>
      <w:r>
        <w:rPr>
          <w:sz w:val="18"/>
          <w:szCs w:val="18"/>
        </w:rPr>
        <w:br/>
      </w:r>
      <w:r w:rsidRPr="000F427A">
        <w:rPr>
          <w:sz w:val="18"/>
          <w:szCs w:val="18"/>
        </w:rPr>
        <w:t>24 września 2023 r.</w:t>
      </w:r>
    </w:p>
  </w:footnote>
  <w:footnote w:id="2">
    <w:p w14:paraId="1E664581" w14:textId="77777777" w:rsidR="009203EF" w:rsidRDefault="009203EF" w:rsidP="000C135B">
      <w:pPr>
        <w:pStyle w:val="Tekstprzypisudolnego"/>
        <w:spacing w:line="220" w:lineRule="exact"/>
        <w:ind w:left="154" w:hanging="154"/>
      </w:pPr>
      <w:r w:rsidRPr="000C135B">
        <w:rPr>
          <w:rStyle w:val="Odwoanieprzypisudolnego"/>
          <w:sz w:val="18"/>
          <w:szCs w:val="18"/>
        </w:rPr>
        <w:footnoteRef/>
      </w:r>
      <w:r w:rsidRPr="000C135B">
        <w:rPr>
          <w:sz w:val="18"/>
          <w:szCs w:val="18"/>
        </w:rPr>
        <w:tab/>
      </w:r>
      <w:r w:rsidR="00F978F0" w:rsidRPr="00F978F0">
        <w:rPr>
          <w:sz w:val="18"/>
          <w:szCs w:val="18"/>
        </w:rPr>
        <w:t>Jeżeli działka nie posiada adresu, należy opisowo określić jej położenie.</w:t>
      </w:r>
    </w:p>
  </w:footnote>
  <w:footnote w:id="3">
    <w:p w14:paraId="548535D0" w14:textId="77777777" w:rsidR="009203EF" w:rsidRDefault="009203EF" w:rsidP="000C135B">
      <w:pPr>
        <w:autoSpaceDE w:val="0"/>
        <w:autoSpaceDN w:val="0"/>
        <w:adjustRightInd w:val="0"/>
        <w:spacing w:line="220" w:lineRule="exact"/>
        <w:ind w:left="153" w:right="105" w:hanging="153"/>
        <w:jc w:val="both"/>
      </w:pPr>
      <w:r w:rsidRPr="000C135B">
        <w:rPr>
          <w:rStyle w:val="Odwoanieprzypisudolnego"/>
          <w:sz w:val="18"/>
          <w:szCs w:val="18"/>
        </w:rPr>
        <w:footnoteRef/>
      </w:r>
      <w:r w:rsidRPr="000C135B">
        <w:rPr>
          <w:sz w:val="18"/>
          <w:szCs w:val="18"/>
        </w:rPr>
        <w:tab/>
      </w:r>
      <w:r w:rsidR="00F978F0" w:rsidRPr="00F978F0">
        <w:rPr>
          <w:sz w:val="18"/>
          <w:szCs w:val="18"/>
        </w:rPr>
        <w:t>W szczególności imię i nazwisko albo firma właściciela lub użytkownika wieczystego oraz istniejące obciążenia na nieruchomości</w:t>
      </w:r>
      <w:r w:rsidRPr="000C135B">
        <w:rPr>
          <w:sz w:val="18"/>
          <w:szCs w:val="18"/>
        </w:rPr>
        <w:t>.</w:t>
      </w:r>
    </w:p>
  </w:footnote>
  <w:footnote w:id="4">
    <w:p w14:paraId="156E3F23" w14:textId="77777777" w:rsidR="009203EF" w:rsidRDefault="009203EF" w:rsidP="000C135B">
      <w:pPr>
        <w:pStyle w:val="Tekstprzypisudolnego"/>
        <w:spacing w:line="220" w:lineRule="exact"/>
        <w:ind w:left="154" w:hanging="154"/>
      </w:pPr>
      <w:r w:rsidRPr="000C135B">
        <w:rPr>
          <w:sz w:val="18"/>
          <w:szCs w:val="18"/>
          <w:vertAlign w:val="superscript"/>
        </w:rPr>
        <w:footnoteRef/>
      </w:r>
      <w:r w:rsidRPr="000C135B">
        <w:rPr>
          <w:sz w:val="18"/>
          <w:szCs w:val="18"/>
        </w:rPr>
        <w:tab/>
      </w:r>
      <w:r w:rsidR="00F978F0" w:rsidRPr="00F978F0">
        <w:rPr>
          <w:sz w:val="18"/>
          <w:szCs w:val="18"/>
        </w:rPr>
        <w:t>W szczególności obiekty generujące uciążliwości zapachowe, hałasowe, świetlne</w:t>
      </w:r>
      <w:r w:rsidRPr="000C135B">
        <w:rPr>
          <w:sz w:val="18"/>
          <w:szCs w:val="18"/>
        </w:rPr>
        <w:t>.</w:t>
      </w:r>
    </w:p>
  </w:footnote>
  <w:footnote w:id="5">
    <w:p w14:paraId="4178DBA2" w14:textId="77777777" w:rsidR="00576CE9" w:rsidRPr="003F36EB" w:rsidRDefault="00576CE9" w:rsidP="003F36EB">
      <w:pPr>
        <w:pStyle w:val="Tekstprzypisudolnego"/>
        <w:spacing w:line="220" w:lineRule="exact"/>
        <w:ind w:left="154" w:hanging="153"/>
        <w:rPr>
          <w:sz w:val="18"/>
          <w:szCs w:val="18"/>
        </w:rPr>
      </w:pPr>
      <w:r w:rsidRPr="000C135B">
        <w:rPr>
          <w:sz w:val="18"/>
          <w:szCs w:val="18"/>
          <w:vertAlign w:val="superscript"/>
        </w:rPr>
        <w:footnoteRef/>
      </w:r>
      <w:r>
        <w:rPr>
          <w:sz w:val="18"/>
          <w:szCs w:val="18"/>
        </w:rPr>
        <w:tab/>
      </w:r>
      <w:r w:rsidR="00F978F0" w:rsidRPr="00F978F0">
        <w:rPr>
          <w:sz w:val="18"/>
          <w:szCs w:val="18"/>
        </w:rPr>
        <w:t>Akty prawne (rozporządzenia, zarządzenia, uchwały) w sprawach:</w:t>
      </w:r>
    </w:p>
    <w:p w14:paraId="548EBF5A"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1)</w:t>
      </w:r>
      <w:r>
        <w:rPr>
          <w:sz w:val="18"/>
          <w:szCs w:val="18"/>
        </w:rPr>
        <w:tab/>
      </w:r>
      <w:r w:rsidR="00F978F0" w:rsidRPr="00F978F0">
        <w:rPr>
          <w:sz w:val="18"/>
          <w:szCs w:val="18"/>
        </w:rPr>
        <w:t>dotyczących Inwestycji, Inwestycji Towarzyszących oraz obszaru otoczenia CPK,</w:t>
      </w:r>
    </w:p>
    <w:p w14:paraId="034FAFF3"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2)</w:t>
      </w:r>
      <w:r>
        <w:rPr>
          <w:sz w:val="18"/>
          <w:szCs w:val="18"/>
        </w:rPr>
        <w:tab/>
      </w:r>
      <w:r w:rsidR="00F978F0" w:rsidRPr="00F978F0">
        <w:rPr>
          <w:sz w:val="18"/>
          <w:szCs w:val="18"/>
        </w:rPr>
        <w:t>lokalizacji inwestycji mieszkaniowej lub inwestycji towarzyszącej,</w:t>
      </w:r>
    </w:p>
    <w:p w14:paraId="231D9EFF" w14:textId="77777777" w:rsidR="00576CE9" w:rsidRPr="003F36EB" w:rsidRDefault="00576CE9" w:rsidP="00F978F0">
      <w:pPr>
        <w:pStyle w:val="Tekstprzypisudolnego"/>
        <w:spacing w:line="220" w:lineRule="exact"/>
        <w:ind w:left="392" w:right="154" w:hanging="251"/>
        <w:jc w:val="both"/>
        <w:rPr>
          <w:sz w:val="18"/>
          <w:szCs w:val="18"/>
        </w:rPr>
      </w:pPr>
      <w:r w:rsidRPr="003F36EB">
        <w:rPr>
          <w:sz w:val="18"/>
          <w:szCs w:val="18"/>
        </w:rPr>
        <w:t>3)</w:t>
      </w:r>
      <w:r>
        <w:rPr>
          <w:sz w:val="18"/>
          <w:szCs w:val="18"/>
        </w:rPr>
        <w:tab/>
      </w:r>
      <w:r w:rsidR="00F978F0" w:rsidRPr="00F978F0">
        <w:rPr>
          <w:sz w:val="18"/>
          <w:szCs w:val="18"/>
        </w:rPr>
        <w:t>ustanowienia form ochrony przyrody lub ich otulin (parku narodowego, rezerwatu przyrody, parku krajobrazowego, obszaru chro-nionego krajobrazu, obszaru Natura 2000, pomnika przyrody, stanowiska dokumentacyjnego, użytku ekologicznego, zespołu</w:t>
      </w:r>
      <w:r w:rsidR="00F978F0">
        <w:rPr>
          <w:sz w:val="18"/>
          <w:szCs w:val="18"/>
        </w:rPr>
        <w:t xml:space="preserve"> </w:t>
      </w:r>
      <w:r w:rsidR="00F978F0" w:rsidRPr="00F978F0">
        <w:rPr>
          <w:sz w:val="18"/>
          <w:szCs w:val="18"/>
        </w:rPr>
        <w:t>przyrodniczo-krajobrazowego, ochrony gatunkowej roślin, zwierząt i grzybów),</w:t>
      </w:r>
    </w:p>
    <w:p w14:paraId="42696C70"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4)</w:t>
      </w:r>
      <w:r>
        <w:rPr>
          <w:sz w:val="18"/>
          <w:szCs w:val="18"/>
        </w:rPr>
        <w:tab/>
      </w:r>
      <w:r w:rsidR="00F978F0" w:rsidRPr="00F978F0">
        <w:rPr>
          <w:sz w:val="18"/>
          <w:szCs w:val="18"/>
        </w:rPr>
        <w:t>ustanowienia strefy ochronnej terenu ochrony bezpośredniej i terenu ochrony pośredniej ujęcia wody,</w:t>
      </w:r>
    </w:p>
    <w:p w14:paraId="6171E053"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5)</w:t>
      </w:r>
      <w:r>
        <w:rPr>
          <w:sz w:val="18"/>
          <w:szCs w:val="18"/>
        </w:rPr>
        <w:tab/>
      </w:r>
      <w:r w:rsidR="00F978F0" w:rsidRPr="00F978F0">
        <w:rPr>
          <w:sz w:val="18"/>
          <w:szCs w:val="18"/>
        </w:rPr>
        <w:t>wyznaczenia obszarów cichych w aglomeracji lub obszarów cichych poza aglomeracją,</w:t>
      </w:r>
    </w:p>
    <w:p w14:paraId="68B7AF9C"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6)</w:t>
      </w:r>
      <w:r w:rsidR="00F978F0" w:rsidRPr="00F978F0">
        <w:t xml:space="preserve"> </w:t>
      </w:r>
      <w:r w:rsidR="00F978F0">
        <w:tab/>
      </w:r>
      <w:r w:rsidR="00F978F0" w:rsidRPr="00F978F0">
        <w:rPr>
          <w:sz w:val="18"/>
          <w:szCs w:val="18"/>
        </w:rPr>
        <w:t>utworzenia obszaru ograniczonego użytkowania,</w:t>
      </w:r>
    </w:p>
    <w:p w14:paraId="69D8DD3E"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7)</w:t>
      </w:r>
      <w:r>
        <w:rPr>
          <w:sz w:val="18"/>
          <w:szCs w:val="18"/>
        </w:rPr>
        <w:tab/>
      </w:r>
      <w:r w:rsidRPr="003F36EB">
        <w:rPr>
          <w:sz w:val="18"/>
          <w:szCs w:val="18"/>
        </w:rPr>
        <w:t>uznania zabytku za pomnik historii,</w:t>
      </w:r>
    </w:p>
    <w:p w14:paraId="3FAC911B"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8)</w:t>
      </w:r>
      <w:r>
        <w:rPr>
          <w:sz w:val="18"/>
          <w:szCs w:val="18"/>
        </w:rPr>
        <w:tab/>
      </w:r>
      <w:r w:rsidR="00F978F0" w:rsidRPr="00F978F0">
        <w:rPr>
          <w:sz w:val="18"/>
          <w:szCs w:val="18"/>
        </w:rPr>
        <w:t>określenia granic obszaru Pomnika Zagłady i jego strefy ochronnej, utworzenia parku kulturowego,</w:t>
      </w:r>
    </w:p>
    <w:p w14:paraId="5A477CC4" w14:textId="5718E93C" w:rsidR="00576CE9" w:rsidRDefault="00576CE9" w:rsidP="00682C21">
      <w:pPr>
        <w:pStyle w:val="Tekstprzypisudolnego"/>
        <w:spacing w:line="220" w:lineRule="exact"/>
        <w:ind w:left="392" w:hanging="251"/>
      </w:pPr>
      <w:r w:rsidRPr="003F36EB">
        <w:rPr>
          <w:sz w:val="18"/>
          <w:szCs w:val="18"/>
        </w:rPr>
        <w:t>9)</w:t>
      </w:r>
      <w:r>
        <w:rPr>
          <w:sz w:val="18"/>
          <w:szCs w:val="18"/>
        </w:rPr>
        <w:tab/>
      </w:r>
      <w:r w:rsidR="00F978F0" w:rsidRPr="00F978F0">
        <w:rPr>
          <w:sz w:val="18"/>
          <w:szCs w:val="18"/>
        </w:rPr>
        <w:t xml:space="preserve">ustalenia zasad i warunków sytuowania obiektów małej architektury, tablic reklamowych i urządzeń reklamowych oraz ogrodzeń, </w:t>
      </w:r>
      <w:r w:rsidR="000F427A">
        <w:rPr>
          <w:sz w:val="18"/>
          <w:szCs w:val="18"/>
        </w:rPr>
        <w:br/>
      </w:r>
      <w:r w:rsidR="00F978F0" w:rsidRPr="00F978F0">
        <w:rPr>
          <w:sz w:val="18"/>
          <w:szCs w:val="18"/>
        </w:rPr>
        <w:t>ich gabarytów, standardów jakościowych oraz rodzajów materiałów budowlanych.</w:t>
      </w:r>
    </w:p>
  </w:footnote>
  <w:footnote w:id="6">
    <w:p w14:paraId="038A61BE" w14:textId="77777777" w:rsidR="00F978F0" w:rsidRDefault="00F978F0" w:rsidP="00FD0F45">
      <w:pPr>
        <w:pStyle w:val="Tekstprzypisudolnego"/>
        <w:spacing w:line="220" w:lineRule="exact"/>
        <w:ind w:left="154" w:hanging="153"/>
      </w:pPr>
      <w:r w:rsidRPr="000C135B">
        <w:rPr>
          <w:sz w:val="18"/>
          <w:szCs w:val="18"/>
          <w:vertAlign w:val="superscript"/>
        </w:rPr>
        <w:footnoteRef/>
      </w:r>
      <w:r>
        <w:rPr>
          <w:sz w:val="18"/>
          <w:szCs w:val="18"/>
        </w:rPr>
        <w:tab/>
      </w:r>
      <w:r w:rsidRPr="00FD0F45">
        <w:rPr>
          <w:sz w:val="18"/>
          <w:szCs w:val="18"/>
        </w:rPr>
        <w:t>W przypadku braku miejscowego planu zagospodarowania przestrzennego umieszcza się informację „Brak planu”.</w:t>
      </w:r>
    </w:p>
  </w:footnote>
  <w:footnote w:id="7">
    <w:p w14:paraId="6ED47722" w14:textId="77777777" w:rsidR="00481CD8" w:rsidRDefault="00481CD8" w:rsidP="00FD0F45">
      <w:pPr>
        <w:pStyle w:val="Tekstprzypisudolnego"/>
        <w:spacing w:line="220" w:lineRule="exact"/>
        <w:ind w:left="154" w:hanging="153"/>
      </w:pPr>
      <w:r w:rsidRPr="000C135B">
        <w:rPr>
          <w:sz w:val="18"/>
          <w:szCs w:val="18"/>
          <w:vertAlign w:val="superscript"/>
        </w:rPr>
        <w:footnoteRef/>
      </w:r>
      <w:r>
        <w:rPr>
          <w:sz w:val="18"/>
          <w:szCs w:val="18"/>
        </w:rPr>
        <w:tab/>
      </w:r>
      <w:r w:rsidRPr="00D93953">
        <w:rPr>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8">
    <w:p w14:paraId="67EB4DA2" w14:textId="77777777" w:rsidR="009A0C09" w:rsidRDefault="009A0C09" w:rsidP="00333135">
      <w:pPr>
        <w:pStyle w:val="Tekstprzypisudolnego"/>
        <w:spacing w:line="240" w:lineRule="exact"/>
        <w:ind w:left="153" w:hanging="153"/>
      </w:pPr>
      <w:r w:rsidRPr="00333135">
        <w:rPr>
          <w:rStyle w:val="Odwoanieprzypisudolnego"/>
          <w:sz w:val="18"/>
          <w:szCs w:val="18"/>
          <w:vertAlign w:val="baseline"/>
        </w:rPr>
        <w:t>*</w:t>
      </w:r>
      <w:r w:rsidRPr="00333135">
        <w:rPr>
          <w:sz w:val="18"/>
          <w:szCs w:val="18"/>
        </w:rPr>
        <w:tab/>
        <w:t>Niepotrzebne skreślić (kliknąć dwukrotnie na tekst).</w:t>
      </w:r>
    </w:p>
  </w:footnote>
  <w:footnote w:id="9">
    <w:p w14:paraId="490E2A79" w14:textId="77777777" w:rsidR="005C088E" w:rsidRDefault="005C088E">
      <w:pPr>
        <w:pStyle w:val="Tekstprzypisudolnego"/>
      </w:pPr>
      <w:r w:rsidRPr="007F2F3D">
        <w:rPr>
          <w:rStyle w:val="Odwoanieprzypisudolnego"/>
          <w:vertAlign w:val="baseline"/>
        </w:rPr>
        <w:t>*</w:t>
      </w:r>
      <w:r>
        <w:t xml:space="preserve"> </w:t>
      </w:r>
      <w:r w:rsidRPr="00333135">
        <w:rPr>
          <w:sz w:val="18"/>
          <w:szCs w:val="18"/>
        </w:rPr>
        <w:t>Niepotrzebne skreślić.</w:t>
      </w:r>
    </w:p>
  </w:footnote>
  <w:footnote w:id="10">
    <w:p w14:paraId="3F805001" w14:textId="366590C6" w:rsidR="005C088E" w:rsidRDefault="005C088E" w:rsidP="002F2658">
      <w:pPr>
        <w:pStyle w:val="Tekstprzypisudolnego"/>
        <w:spacing w:line="220" w:lineRule="exact"/>
        <w:ind w:left="153" w:right="96" w:hanging="153"/>
        <w:jc w:val="both"/>
      </w:pPr>
      <w:r w:rsidRPr="000C135B">
        <w:rPr>
          <w:sz w:val="18"/>
          <w:szCs w:val="18"/>
          <w:vertAlign w:val="superscript"/>
        </w:rPr>
        <w:footnoteRef/>
      </w:r>
      <w:r>
        <w:rPr>
          <w:sz w:val="18"/>
          <w:szCs w:val="18"/>
        </w:rPr>
        <w:tab/>
      </w:r>
      <w:r w:rsidRPr="007E693B">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r w:rsidRPr="00B344A0">
        <w:rPr>
          <w:sz w:val="18"/>
          <w:szCs w:val="18"/>
        </w:rPr>
        <w:t>.</w:t>
      </w:r>
    </w:p>
  </w:footnote>
  <w:footnote w:id="11">
    <w:p w14:paraId="18B3F3E9" w14:textId="69A5E874" w:rsidR="009275CA" w:rsidRDefault="009275CA">
      <w:pPr>
        <w:pStyle w:val="Tekstprzypisudolnego"/>
      </w:pPr>
      <w:r>
        <w:rPr>
          <w:rStyle w:val="Odwoanieprzypisudolnego"/>
        </w:rPr>
        <w:t>44</w:t>
      </w:r>
      <w:r>
        <w:t xml:space="preserve"> </w:t>
      </w:r>
      <w:r w:rsidRPr="007E693B">
        <w:rPr>
          <w:sz w:val="18"/>
          <w:szCs w:val="18"/>
        </w:rPr>
        <w:t>Sekcja w brzmieniu ustalonym przez art. 43 pkt 14 ustawy, o której mowa w odnośniku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AC6"/>
    <w:multiLevelType w:val="hybridMultilevel"/>
    <w:tmpl w:val="7B8412C2"/>
    <w:lvl w:ilvl="0" w:tplc="05DAF654">
      <w:start w:val="1"/>
      <w:numFmt w:val="decimal"/>
      <w:lvlText w:val="%1."/>
      <w:lvlJc w:val="left"/>
      <w:pPr>
        <w:ind w:left="258" w:hanging="360"/>
      </w:pPr>
      <w:rPr>
        <w:rFonts w:hint="default"/>
      </w:rPr>
    </w:lvl>
    <w:lvl w:ilvl="1" w:tplc="04150019" w:tentative="1">
      <w:start w:val="1"/>
      <w:numFmt w:val="lowerLetter"/>
      <w:lvlText w:val="%2."/>
      <w:lvlJc w:val="left"/>
      <w:pPr>
        <w:ind w:left="978" w:hanging="360"/>
      </w:pPr>
    </w:lvl>
    <w:lvl w:ilvl="2" w:tplc="0415001B" w:tentative="1">
      <w:start w:val="1"/>
      <w:numFmt w:val="lowerRoman"/>
      <w:lvlText w:val="%3."/>
      <w:lvlJc w:val="right"/>
      <w:pPr>
        <w:ind w:left="1698" w:hanging="180"/>
      </w:pPr>
    </w:lvl>
    <w:lvl w:ilvl="3" w:tplc="0415000F" w:tentative="1">
      <w:start w:val="1"/>
      <w:numFmt w:val="decimal"/>
      <w:lvlText w:val="%4."/>
      <w:lvlJc w:val="left"/>
      <w:pPr>
        <w:ind w:left="2418" w:hanging="360"/>
      </w:pPr>
    </w:lvl>
    <w:lvl w:ilvl="4" w:tplc="04150019" w:tentative="1">
      <w:start w:val="1"/>
      <w:numFmt w:val="lowerLetter"/>
      <w:lvlText w:val="%5."/>
      <w:lvlJc w:val="left"/>
      <w:pPr>
        <w:ind w:left="3138" w:hanging="360"/>
      </w:pPr>
    </w:lvl>
    <w:lvl w:ilvl="5" w:tplc="0415001B" w:tentative="1">
      <w:start w:val="1"/>
      <w:numFmt w:val="lowerRoman"/>
      <w:lvlText w:val="%6."/>
      <w:lvlJc w:val="right"/>
      <w:pPr>
        <w:ind w:left="3858" w:hanging="180"/>
      </w:pPr>
    </w:lvl>
    <w:lvl w:ilvl="6" w:tplc="0415000F" w:tentative="1">
      <w:start w:val="1"/>
      <w:numFmt w:val="decimal"/>
      <w:lvlText w:val="%7."/>
      <w:lvlJc w:val="left"/>
      <w:pPr>
        <w:ind w:left="4578" w:hanging="360"/>
      </w:pPr>
    </w:lvl>
    <w:lvl w:ilvl="7" w:tplc="04150019" w:tentative="1">
      <w:start w:val="1"/>
      <w:numFmt w:val="lowerLetter"/>
      <w:lvlText w:val="%8."/>
      <w:lvlJc w:val="left"/>
      <w:pPr>
        <w:ind w:left="5298" w:hanging="360"/>
      </w:pPr>
    </w:lvl>
    <w:lvl w:ilvl="8" w:tplc="0415001B" w:tentative="1">
      <w:start w:val="1"/>
      <w:numFmt w:val="lowerRoman"/>
      <w:lvlText w:val="%9."/>
      <w:lvlJc w:val="right"/>
      <w:pPr>
        <w:ind w:left="6018" w:hanging="180"/>
      </w:pPr>
    </w:lvl>
  </w:abstractNum>
  <w:abstractNum w:abstractNumId="1" w15:restartNumberingAfterBreak="0">
    <w:nsid w:val="0D786A9C"/>
    <w:multiLevelType w:val="multilevel"/>
    <w:tmpl w:val="82FA2B7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20641D"/>
    <w:multiLevelType w:val="hybridMultilevel"/>
    <w:tmpl w:val="94AE80EC"/>
    <w:lvl w:ilvl="0" w:tplc="3A5C376C">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3" w15:restartNumberingAfterBreak="0">
    <w:nsid w:val="222A6E64"/>
    <w:multiLevelType w:val="multilevel"/>
    <w:tmpl w:val="04CA3372"/>
    <w:lvl w:ilvl="0">
      <w:start w:val="1"/>
      <w:numFmt w:val="decimal"/>
      <w:lvlText w:val="%1."/>
      <w:lvlJc w:val="left"/>
      <w:pPr>
        <w:ind w:left="284" w:hanging="284"/>
      </w:pPr>
    </w:lvl>
    <w:lvl w:ilvl="1">
      <w:start w:val="1"/>
      <w:numFmt w:val="decimal"/>
      <w:lvlText w:val="%2)"/>
      <w:lvlJc w:val="left"/>
      <w:pPr>
        <w:ind w:left="568" w:hanging="284"/>
      </w:pPr>
    </w:lvl>
    <w:lvl w:ilvl="2">
      <w:start w:val="1"/>
      <w:numFmt w:val="lowerLetter"/>
      <w:lvlText w:val="%3)"/>
      <w:lvlJc w:val="left"/>
      <w:pPr>
        <w:tabs>
          <w:tab w:val="num" w:pos="851"/>
        </w:tabs>
        <w:ind w:left="852" w:hanging="284"/>
      </w:pPr>
    </w:lvl>
    <w:lvl w:ilvl="3">
      <w:start w:val="1"/>
      <w:numFmt w:val="upperRoman"/>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 w15:restartNumberingAfterBreak="0">
    <w:nsid w:val="468E0BC5"/>
    <w:multiLevelType w:val="hybridMultilevel"/>
    <w:tmpl w:val="A5367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601D4F"/>
    <w:multiLevelType w:val="hybridMultilevel"/>
    <w:tmpl w:val="94AE80EC"/>
    <w:lvl w:ilvl="0" w:tplc="3A5C376C">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6" w15:restartNumberingAfterBreak="0">
    <w:nsid w:val="5CAA2AB8"/>
    <w:multiLevelType w:val="hybridMultilevel"/>
    <w:tmpl w:val="5BF2D7B8"/>
    <w:lvl w:ilvl="0" w:tplc="44E2E358">
      <w:start w:val="1"/>
      <w:numFmt w:val="decimal"/>
      <w:lvlText w:val="%1)"/>
      <w:lvlJc w:val="left"/>
      <w:pPr>
        <w:ind w:left="702" w:hanging="360"/>
      </w:pPr>
      <w:rPr>
        <w:rFonts w:hint="default"/>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num w:numId="1" w16cid:durableId="1367098237">
    <w:abstractNumId w:val="6"/>
  </w:num>
  <w:num w:numId="2" w16cid:durableId="1367830404">
    <w:abstractNumId w:val="2"/>
  </w:num>
  <w:num w:numId="3" w16cid:durableId="1790510372">
    <w:abstractNumId w:val="5"/>
  </w:num>
  <w:num w:numId="4" w16cid:durableId="1423069908">
    <w:abstractNumId w:val="0"/>
  </w:num>
  <w:num w:numId="5" w16cid:durableId="257717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379945">
    <w:abstractNumId w:val="4"/>
  </w:num>
  <w:num w:numId="7" w16cid:durableId="123307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07"/>
    <w:rsid w:val="00000965"/>
    <w:rsid w:val="0000250E"/>
    <w:rsid w:val="000026B0"/>
    <w:rsid w:val="000042DE"/>
    <w:rsid w:val="00004697"/>
    <w:rsid w:val="00011610"/>
    <w:rsid w:val="000119B1"/>
    <w:rsid w:val="000126FB"/>
    <w:rsid w:val="00012E5B"/>
    <w:rsid w:val="00014E6A"/>
    <w:rsid w:val="00015907"/>
    <w:rsid w:val="00016031"/>
    <w:rsid w:val="00016403"/>
    <w:rsid w:val="00017727"/>
    <w:rsid w:val="0002092E"/>
    <w:rsid w:val="0002394E"/>
    <w:rsid w:val="00024F13"/>
    <w:rsid w:val="0002719E"/>
    <w:rsid w:val="00030C68"/>
    <w:rsid w:val="000311F7"/>
    <w:rsid w:val="0003240F"/>
    <w:rsid w:val="00032D9F"/>
    <w:rsid w:val="000358AB"/>
    <w:rsid w:val="0003630D"/>
    <w:rsid w:val="00036C32"/>
    <w:rsid w:val="000371F3"/>
    <w:rsid w:val="000373E9"/>
    <w:rsid w:val="0004022C"/>
    <w:rsid w:val="00043380"/>
    <w:rsid w:val="000443FD"/>
    <w:rsid w:val="0004478F"/>
    <w:rsid w:val="0004547C"/>
    <w:rsid w:val="00045EDB"/>
    <w:rsid w:val="00045F34"/>
    <w:rsid w:val="000515D4"/>
    <w:rsid w:val="00054D28"/>
    <w:rsid w:val="00054D77"/>
    <w:rsid w:val="0005579D"/>
    <w:rsid w:val="000572D5"/>
    <w:rsid w:val="00057574"/>
    <w:rsid w:val="00060043"/>
    <w:rsid w:val="00061110"/>
    <w:rsid w:val="0006362C"/>
    <w:rsid w:val="00063A2C"/>
    <w:rsid w:val="00064E47"/>
    <w:rsid w:val="00065C5C"/>
    <w:rsid w:val="00066F5D"/>
    <w:rsid w:val="00070DAA"/>
    <w:rsid w:val="000715CC"/>
    <w:rsid w:val="00071F50"/>
    <w:rsid w:val="000726D1"/>
    <w:rsid w:val="000726E5"/>
    <w:rsid w:val="0007513D"/>
    <w:rsid w:val="00077365"/>
    <w:rsid w:val="00080A1C"/>
    <w:rsid w:val="00081C0B"/>
    <w:rsid w:val="00084BDF"/>
    <w:rsid w:val="000851F8"/>
    <w:rsid w:val="0008571F"/>
    <w:rsid w:val="000858B3"/>
    <w:rsid w:val="00086436"/>
    <w:rsid w:val="00086612"/>
    <w:rsid w:val="000870CA"/>
    <w:rsid w:val="00087EE9"/>
    <w:rsid w:val="00091FC0"/>
    <w:rsid w:val="00092B84"/>
    <w:rsid w:val="00092EC2"/>
    <w:rsid w:val="00094D88"/>
    <w:rsid w:val="0009554D"/>
    <w:rsid w:val="00096A7D"/>
    <w:rsid w:val="00097A16"/>
    <w:rsid w:val="00097DE2"/>
    <w:rsid w:val="000A23DE"/>
    <w:rsid w:val="000A461B"/>
    <w:rsid w:val="000A49F4"/>
    <w:rsid w:val="000A6799"/>
    <w:rsid w:val="000B0CD2"/>
    <w:rsid w:val="000B1E2C"/>
    <w:rsid w:val="000B34D8"/>
    <w:rsid w:val="000B3A08"/>
    <w:rsid w:val="000B3CD1"/>
    <w:rsid w:val="000B3D96"/>
    <w:rsid w:val="000B61C9"/>
    <w:rsid w:val="000B7F2C"/>
    <w:rsid w:val="000C135B"/>
    <w:rsid w:val="000C475C"/>
    <w:rsid w:val="000C6989"/>
    <w:rsid w:val="000C6AA1"/>
    <w:rsid w:val="000C6ABB"/>
    <w:rsid w:val="000D0A87"/>
    <w:rsid w:val="000D126C"/>
    <w:rsid w:val="000D1D99"/>
    <w:rsid w:val="000D1E9C"/>
    <w:rsid w:val="000D2BE1"/>
    <w:rsid w:val="000D3A3E"/>
    <w:rsid w:val="000D51FE"/>
    <w:rsid w:val="000D6F9E"/>
    <w:rsid w:val="000E3762"/>
    <w:rsid w:val="000E4B00"/>
    <w:rsid w:val="000E7542"/>
    <w:rsid w:val="000F18E7"/>
    <w:rsid w:val="000F427A"/>
    <w:rsid w:val="000F475E"/>
    <w:rsid w:val="000F4E14"/>
    <w:rsid w:val="000F52A7"/>
    <w:rsid w:val="0010506B"/>
    <w:rsid w:val="001159DF"/>
    <w:rsid w:val="00116736"/>
    <w:rsid w:val="00116D54"/>
    <w:rsid w:val="001179A7"/>
    <w:rsid w:val="00117A67"/>
    <w:rsid w:val="00121357"/>
    <w:rsid w:val="00121577"/>
    <w:rsid w:val="00121CB1"/>
    <w:rsid w:val="00122B01"/>
    <w:rsid w:val="0012447F"/>
    <w:rsid w:val="00125E1F"/>
    <w:rsid w:val="001267C3"/>
    <w:rsid w:val="00126C33"/>
    <w:rsid w:val="00126FB2"/>
    <w:rsid w:val="001271A6"/>
    <w:rsid w:val="00130AA3"/>
    <w:rsid w:val="00131B41"/>
    <w:rsid w:val="00132619"/>
    <w:rsid w:val="00132BE6"/>
    <w:rsid w:val="001331A8"/>
    <w:rsid w:val="001355E3"/>
    <w:rsid w:val="00137C1F"/>
    <w:rsid w:val="0014178B"/>
    <w:rsid w:val="001478A1"/>
    <w:rsid w:val="00150360"/>
    <w:rsid w:val="00150423"/>
    <w:rsid w:val="001504B8"/>
    <w:rsid w:val="00154C4E"/>
    <w:rsid w:val="00160235"/>
    <w:rsid w:val="00160E74"/>
    <w:rsid w:val="001627DC"/>
    <w:rsid w:val="0016326A"/>
    <w:rsid w:val="0016459D"/>
    <w:rsid w:val="0017014B"/>
    <w:rsid w:val="00172BD8"/>
    <w:rsid w:val="001749B5"/>
    <w:rsid w:val="0017570A"/>
    <w:rsid w:val="00176488"/>
    <w:rsid w:val="00177A37"/>
    <w:rsid w:val="00180774"/>
    <w:rsid w:val="0018256D"/>
    <w:rsid w:val="00183703"/>
    <w:rsid w:val="001838ED"/>
    <w:rsid w:val="00186DE4"/>
    <w:rsid w:val="00191B23"/>
    <w:rsid w:val="00191B7E"/>
    <w:rsid w:val="0019204E"/>
    <w:rsid w:val="0019244E"/>
    <w:rsid w:val="00193611"/>
    <w:rsid w:val="001940EC"/>
    <w:rsid w:val="0019426B"/>
    <w:rsid w:val="00194B92"/>
    <w:rsid w:val="001965DE"/>
    <w:rsid w:val="001A2936"/>
    <w:rsid w:val="001A3670"/>
    <w:rsid w:val="001A512C"/>
    <w:rsid w:val="001A61B3"/>
    <w:rsid w:val="001A6689"/>
    <w:rsid w:val="001A7809"/>
    <w:rsid w:val="001B0376"/>
    <w:rsid w:val="001B069D"/>
    <w:rsid w:val="001B07A9"/>
    <w:rsid w:val="001B0B9B"/>
    <w:rsid w:val="001B1E3E"/>
    <w:rsid w:val="001B2435"/>
    <w:rsid w:val="001B3761"/>
    <w:rsid w:val="001B4889"/>
    <w:rsid w:val="001B72E7"/>
    <w:rsid w:val="001C198C"/>
    <w:rsid w:val="001C6600"/>
    <w:rsid w:val="001D1DCB"/>
    <w:rsid w:val="001D26CD"/>
    <w:rsid w:val="001D36B3"/>
    <w:rsid w:val="001D3E2C"/>
    <w:rsid w:val="001D3F4F"/>
    <w:rsid w:val="001D51BC"/>
    <w:rsid w:val="001D711F"/>
    <w:rsid w:val="001D7899"/>
    <w:rsid w:val="001E134D"/>
    <w:rsid w:val="001E1746"/>
    <w:rsid w:val="001E18FD"/>
    <w:rsid w:val="001E4966"/>
    <w:rsid w:val="001E501A"/>
    <w:rsid w:val="001E65AB"/>
    <w:rsid w:val="001F14B2"/>
    <w:rsid w:val="001F1F03"/>
    <w:rsid w:val="001F252E"/>
    <w:rsid w:val="001F2715"/>
    <w:rsid w:val="001F6315"/>
    <w:rsid w:val="001F6AE6"/>
    <w:rsid w:val="001F7987"/>
    <w:rsid w:val="00201F51"/>
    <w:rsid w:val="00202E21"/>
    <w:rsid w:val="00203D9E"/>
    <w:rsid w:val="0020470B"/>
    <w:rsid w:val="00206A06"/>
    <w:rsid w:val="002110CB"/>
    <w:rsid w:val="0021163D"/>
    <w:rsid w:val="00211C62"/>
    <w:rsid w:val="002139F7"/>
    <w:rsid w:val="00214B36"/>
    <w:rsid w:val="002152AE"/>
    <w:rsid w:val="0021591B"/>
    <w:rsid w:val="0021779E"/>
    <w:rsid w:val="00220800"/>
    <w:rsid w:val="00221AE7"/>
    <w:rsid w:val="00222480"/>
    <w:rsid w:val="00223267"/>
    <w:rsid w:val="002233C7"/>
    <w:rsid w:val="00224F61"/>
    <w:rsid w:val="00225358"/>
    <w:rsid w:val="0022695E"/>
    <w:rsid w:val="002274FE"/>
    <w:rsid w:val="002319B3"/>
    <w:rsid w:val="00231D96"/>
    <w:rsid w:val="00232917"/>
    <w:rsid w:val="0023292F"/>
    <w:rsid w:val="00234220"/>
    <w:rsid w:val="002342D0"/>
    <w:rsid w:val="0023465E"/>
    <w:rsid w:val="0023505F"/>
    <w:rsid w:val="0023550F"/>
    <w:rsid w:val="00236FF3"/>
    <w:rsid w:val="00237F95"/>
    <w:rsid w:val="00240082"/>
    <w:rsid w:val="002416D1"/>
    <w:rsid w:val="002440D4"/>
    <w:rsid w:val="00244B33"/>
    <w:rsid w:val="0024727F"/>
    <w:rsid w:val="002502AD"/>
    <w:rsid w:val="00250AC5"/>
    <w:rsid w:val="00251294"/>
    <w:rsid w:val="0025150B"/>
    <w:rsid w:val="002519F7"/>
    <w:rsid w:val="00251A13"/>
    <w:rsid w:val="00252633"/>
    <w:rsid w:val="00253B27"/>
    <w:rsid w:val="0025554D"/>
    <w:rsid w:val="00256A1D"/>
    <w:rsid w:val="0025708F"/>
    <w:rsid w:val="00261090"/>
    <w:rsid w:val="002618D3"/>
    <w:rsid w:val="002630B7"/>
    <w:rsid w:val="00263DAD"/>
    <w:rsid w:val="00264D40"/>
    <w:rsid w:val="00267066"/>
    <w:rsid w:val="0026753B"/>
    <w:rsid w:val="00267F34"/>
    <w:rsid w:val="002707BA"/>
    <w:rsid w:val="00270E9A"/>
    <w:rsid w:val="00271149"/>
    <w:rsid w:val="00274B5B"/>
    <w:rsid w:val="00274C97"/>
    <w:rsid w:val="0027503D"/>
    <w:rsid w:val="00276D21"/>
    <w:rsid w:val="00277F94"/>
    <w:rsid w:val="002819C8"/>
    <w:rsid w:val="002819C9"/>
    <w:rsid w:val="00284E33"/>
    <w:rsid w:val="0028772C"/>
    <w:rsid w:val="00293E34"/>
    <w:rsid w:val="00294581"/>
    <w:rsid w:val="0029466C"/>
    <w:rsid w:val="00295419"/>
    <w:rsid w:val="00296431"/>
    <w:rsid w:val="0029668E"/>
    <w:rsid w:val="002A0595"/>
    <w:rsid w:val="002A2440"/>
    <w:rsid w:val="002A6DAC"/>
    <w:rsid w:val="002A78A5"/>
    <w:rsid w:val="002B0B45"/>
    <w:rsid w:val="002B1498"/>
    <w:rsid w:val="002B30C0"/>
    <w:rsid w:val="002B4B39"/>
    <w:rsid w:val="002B5C20"/>
    <w:rsid w:val="002B75C8"/>
    <w:rsid w:val="002B7B58"/>
    <w:rsid w:val="002C043C"/>
    <w:rsid w:val="002C0FD1"/>
    <w:rsid w:val="002C56A9"/>
    <w:rsid w:val="002C720C"/>
    <w:rsid w:val="002C7CE0"/>
    <w:rsid w:val="002D0180"/>
    <w:rsid w:val="002D255A"/>
    <w:rsid w:val="002D3636"/>
    <w:rsid w:val="002D463C"/>
    <w:rsid w:val="002D47BA"/>
    <w:rsid w:val="002D5CEE"/>
    <w:rsid w:val="002D77FC"/>
    <w:rsid w:val="002E1B65"/>
    <w:rsid w:val="002E242D"/>
    <w:rsid w:val="002E2766"/>
    <w:rsid w:val="002E3210"/>
    <w:rsid w:val="002E3C7A"/>
    <w:rsid w:val="002E52C8"/>
    <w:rsid w:val="002E60D1"/>
    <w:rsid w:val="002E63DA"/>
    <w:rsid w:val="002E6C0D"/>
    <w:rsid w:val="002E6EAF"/>
    <w:rsid w:val="002E7926"/>
    <w:rsid w:val="002F2658"/>
    <w:rsid w:val="002F2E1B"/>
    <w:rsid w:val="002F78B1"/>
    <w:rsid w:val="00301516"/>
    <w:rsid w:val="003015E2"/>
    <w:rsid w:val="00303BAA"/>
    <w:rsid w:val="003046EB"/>
    <w:rsid w:val="003053E7"/>
    <w:rsid w:val="00305CB0"/>
    <w:rsid w:val="00307197"/>
    <w:rsid w:val="00307AC8"/>
    <w:rsid w:val="00307C97"/>
    <w:rsid w:val="003107AE"/>
    <w:rsid w:val="003114C5"/>
    <w:rsid w:val="00311820"/>
    <w:rsid w:val="00312620"/>
    <w:rsid w:val="00312E3F"/>
    <w:rsid w:val="003133B6"/>
    <w:rsid w:val="00314093"/>
    <w:rsid w:val="00316B78"/>
    <w:rsid w:val="003175EB"/>
    <w:rsid w:val="00320868"/>
    <w:rsid w:val="00320BC1"/>
    <w:rsid w:val="00323A00"/>
    <w:rsid w:val="00327067"/>
    <w:rsid w:val="003312DC"/>
    <w:rsid w:val="00331C2F"/>
    <w:rsid w:val="00332FD9"/>
    <w:rsid w:val="00333135"/>
    <w:rsid w:val="0033413A"/>
    <w:rsid w:val="00334BC8"/>
    <w:rsid w:val="00335CAB"/>
    <w:rsid w:val="00340DB0"/>
    <w:rsid w:val="00340DB7"/>
    <w:rsid w:val="00344DB9"/>
    <w:rsid w:val="00345355"/>
    <w:rsid w:val="00345FF9"/>
    <w:rsid w:val="003460E4"/>
    <w:rsid w:val="00355FB0"/>
    <w:rsid w:val="003573D9"/>
    <w:rsid w:val="00357D5D"/>
    <w:rsid w:val="00360AB8"/>
    <w:rsid w:val="003631FD"/>
    <w:rsid w:val="003635BD"/>
    <w:rsid w:val="00364586"/>
    <w:rsid w:val="0036482C"/>
    <w:rsid w:val="00374320"/>
    <w:rsid w:val="0037439A"/>
    <w:rsid w:val="00376545"/>
    <w:rsid w:val="00376636"/>
    <w:rsid w:val="00380832"/>
    <w:rsid w:val="003818D6"/>
    <w:rsid w:val="00382EF5"/>
    <w:rsid w:val="0038513C"/>
    <w:rsid w:val="003851A8"/>
    <w:rsid w:val="00385EE5"/>
    <w:rsid w:val="00391859"/>
    <w:rsid w:val="00391CEC"/>
    <w:rsid w:val="00391F47"/>
    <w:rsid w:val="00393B89"/>
    <w:rsid w:val="00394FDF"/>
    <w:rsid w:val="00395A9A"/>
    <w:rsid w:val="00396DCD"/>
    <w:rsid w:val="00396F53"/>
    <w:rsid w:val="003A0B2B"/>
    <w:rsid w:val="003A2E40"/>
    <w:rsid w:val="003A46AB"/>
    <w:rsid w:val="003A4DA6"/>
    <w:rsid w:val="003A6B3C"/>
    <w:rsid w:val="003B1A4F"/>
    <w:rsid w:val="003B38BE"/>
    <w:rsid w:val="003B5036"/>
    <w:rsid w:val="003B5B26"/>
    <w:rsid w:val="003B5C20"/>
    <w:rsid w:val="003B7065"/>
    <w:rsid w:val="003B7BAC"/>
    <w:rsid w:val="003C0652"/>
    <w:rsid w:val="003C0D58"/>
    <w:rsid w:val="003C14AF"/>
    <w:rsid w:val="003C3100"/>
    <w:rsid w:val="003C322F"/>
    <w:rsid w:val="003C33DA"/>
    <w:rsid w:val="003C55DC"/>
    <w:rsid w:val="003C7459"/>
    <w:rsid w:val="003C76CC"/>
    <w:rsid w:val="003D036D"/>
    <w:rsid w:val="003D0E35"/>
    <w:rsid w:val="003D15FD"/>
    <w:rsid w:val="003D4B36"/>
    <w:rsid w:val="003D615B"/>
    <w:rsid w:val="003E1EC1"/>
    <w:rsid w:val="003E7FA2"/>
    <w:rsid w:val="003F09C7"/>
    <w:rsid w:val="003F0CD9"/>
    <w:rsid w:val="003F149A"/>
    <w:rsid w:val="003F2376"/>
    <w:rsid w:val="003F3191"/>
    <w:rsid w:val="003F36EB"/>
    <w:rsid w:val="003F495C"/>
    <w:rsid w:val="003F6847"/>
    <w:rsid w:val="003F6FD9"/>
    <w:rsid w:val="003F77F2"/>
    <w:rsid w:val="004001AA"/>
    <w:rsid w:val="00401461"/>
    <w:rsid w:val="004014EA"/>
    <w:rsid w:val="00401C02"/>
    <w:rsid w:val="00405204"/>
    <w:rsid w:val="004053A8"/>
    <w:rsid w:val="00406144"/>
    <w:rsid w:val="004078B2"/>
    <w:rsid w:val="0041000C"/>
    <w:rsid w:val="004108C8"/>
    <w:rsid w:val="00412D06"/>
    <w:rsid w:val="00413D1D"/>
    <w:rsid w:val="0041517C"/>
    <w:rsid w:val="004153A2"/>
    <w:rsid w:val="004170CA"/>
    <w:rsid w:val="00417506"/>
    <w:rsid w:val="00420A51"/>
    <w:rsid w:val="00420C15"/>
    <w:rsid w:val="0042173B"/>
    <w:rsid w:val="004228B7"/>
    <w:rsid w:val="00426BE0"/>
    <w:rsid w:val="00430F24"/>
    <w:rsid w:val="00431860"/>
    <w:rsid w:val="00435A47"/>
    <w:rsid w:val="00436479"/>
    <w:rsid w:val="004379A8"/>
    <w:rsid w:val="00437B80"/>
    <w:rsid w:val="00440BF6"/>
    <w:rsid w:val="0044141E"/>
    <w:rsid w:val="00441AD2"/>
    <w:rsid w:val="00442A8C"/>
    <w:rsid w:val="00442E49"/>
    <w:rsid w:val="0044410A"/>
    <w:rsid w:val="00446371"/>
    <w:rsid w:val="00447964"/>
    <w:rsid w:val="00450B84"/>
    <w:rsid w:val="00451AF4"/>
    <w:rsid w:val="00452167"/>
    <w:rsid w:val="00452968"/>
    <w:rsid w:val="00454892"/>
    <w:rsid w:val="004556B8"/>
    <w:rsid w:val="00455C7F"/>
    <w:rsid w:val="00460FC3"/>
    <w:rsid w:val="00462A8D"/>
    <w:rsid w:val="00462FEE"/>
    <w:rsid w:val="00463215"/>
    <w:rsid w:val="004633CA"/>
    <w:rsid w:val="0047031D"/>
    <w:rsid w:val="004704CA"/>
    <w:rsid w:val="00474B04"/>
    <w:rsid w:val="00475279"/>
    <w:rsid w:val="004765B0"/>
    <w:rsid w:val="00476A48"/>
    <w:rsid w:val="00480358"/>
    <w:rsid w:val="0048056C"/>
    <w:rsid w:val="00480BCE"/>
    <w:rsid w:val="00480BF7"/>
    <w:rsid w:val="00481095"/>
    <w:rsid w:val="00481CD8"/>
    <w:rsid w:val="00482B84"/>
    <w:rsid w:val="00484589"/>
    <w:rsid w:val="00484C69"/>
    <w:rsid w:val="004857A7"/>
    <w:rsid w:val="00485E2F"/>
    <w:rsid w:val="00486362"/>
    <w:rsid w:val="0048742C"/>
    <w:rsid w:val="004918C2"/>
    <w:rsid w:val="00492E3F"/>
    <w:rsid w:val="0049478E"/>
    <w:rsid w:val="004954F0"/>
    <w:rsid w:val="004975A7"/>
    <w:rsid w:val="00497C50"/>
    <w:rsid w:val="004A0245"/>
    <w:rsid w:val="004A1B7A"/>
    <w:rsid w:val="004A2AF1"/>
    <w:rsid w:val="004A6023"/>
    <w:rsid w:val="004A6FCC"/>
    <w:rsid w:val="004A704B"/>
    <w:rsid w:val="004A7E2F"/>
    <w:rsid w:val="004A7E9B"/>
    <w:rsid w:val="004B2108"/>
    <w:rsid w:val="004B3466"/>
    <w:rsid w:val="004B3A22"/>
    <w:rsid w:val="004B5833"/>
    <w:rsid w:val="004B591E"/>
    <w:rsid w:val="004B6A65"/>
    <w:rsid w:val="004C3460"/>
    <w:rsid w:val="004C36B8"/>
    <w:rsid w:val="004C4109"/>
    <w:rsid w:val="004C7C94"/>
    <w:rsid w:val="004D39E3"/>
    <w:rsid w:val="004D3BC9"/>
    <w:rsid w:val="004D4485"/>
    <w:rsid w:val="004D4A58"/>
    <w:rsid w:val="004D5003"/>
    <w:rsid w:val="004D581C"/>
    <w:rsid w:val="004D5932"/>
    <w:rsid w:val="004D593E"/>
    <w:rsid w:val="004D647F"/>
    <w:rsid w:val="004D7049"/>
    <w:rsid w:val="004D75CD"/>
    <w:rsid w:val="004D7EAC"/>
    <w:rsid w:val="004E45A5"/>
    <w:rsid w:val="004E4FA4"/>
    <w:rsid w:val="004E5B83"/>
    <w:rsid w:val="004E7D13"/>
    <w:rsid w:val="004F0C2D"/>
    <w:rsid w:val="004F1C1C"/>
    <w:rsid w:val="004F1E11"/>
    <w:rsid w:val="004F511E"/>
    <w:rsid w:val="004F5498"/>
    <w:rsid w:val="004F5A31"/>
    <w:rsid w:val="004F5D70"/>
    <w:rsid w:val="004F5FE4"/>
    <w:rsid w:val="004F6A09"/>
    <w:rsid w:val="004F6B32"/>
    <w:rsid w:val="0050050E"/>
    <w:rsid w:val="00503A5E"/>
    <w:rsid w:val="005056BB"/>
    <w:rsid w:val="00506BB1"/>
    <w:rsid w:val="00506F64"/>
    <w:rsid w:val="00513636"/>
    <w:rsid w:val="0051420D"/>
    <w:rsid w:val="00514AD1"/>
    <w:rsid w:val="00517677"/>
    <w:rsid w:val="005217AB"/>
    <w:rsid w:val="00522B7F"/>
    <w:rsid w:val="00523071"/>
    <w:rsid w:val="005235DF"/>
    <w:rsid w:val="005240C2"/>
    <w:rsid w:val="005251DE"/>
    <w:rsid w:val="0052659B"/>
    <w:rsid w:val="00526BFF"/>
    <w:rsid w:val="00526EF8"/>
    <w:rsid w:val="005303DC"/>
    <w:rsid w:val="00533DBB"/>
    <w:rsid w:val="005342A3"/>
    <w:rsid w:val="0053473D"/>
    <w:rsid w:val="005352E3"/>
    <w:rsid w:val="00541C15"/>
    <w:rsid w:val="005440D9"/>
    <w:rsid w:val="00552B99"/>
    <w:rsid w:val="005557D1"/>
    <w:rsid w:val="005561B1"/>
    <w:rsid w:val="0055711D"/>
    <w:rsid w:val="00560038"/>
    <w:rsid w:val="00566464"/>
    <w:rsid w:val="00566B5C"/>
    <w:rsid w:val="00567003"/>
    <w:rsid w:val="00567AE8"/>
    <w:rsid w:val="00567C26"/>
    <w:rsid w:val="00571FE0"/>
    <w:rsid w:val="00573E2C"/>
    <w:rsid w:val="00575CA0"/>
    <w:rsid w:val="00576CE9"/>
    <w:rsid w:val="00577147"/>
    <w:rsid w:val="00577212"/>
    <w:rsid w:val="00581038"/>
    <w:rsid w:val="00581D2B"/>
    <w:rsid w:val="00583A66"/>
    <w:rsid w:val="00584831"/>
    <w:rsid w:val="00585FB1"/>
    <w:rsid w:val="00586A62"/>
    <w:rsid w:val="00591904"/>
    <w:rsid w:val="005919D9"/>
    <w:rsid w:val="00592AB7"/>
    <w:rsid w:val="00593606"/>
    <w:rsid w:val="00593A32"/>
    <w:rsid w:val="00593A8C"/>
    <w:rsid w:val="0059699A"/>
    <w:rsid w:val="005A0C6C"/>
    <w:rsid w:val="005A25BF"/>
    <w:rsid w:val="005A36BB"/>
    <w:rsid w:val="005A3DFA"/>
    <w:rsid w:val="005A4B55"/>
    <w:rsid w:val="005A4D73"/>
    <w:rsid w:val="005A5436"/>
    <w:rsid w:val="005A73B5"/>
    <w:rsid w:val="005A773D"/>
    <w:rsid w:val="005B2E10"/>
    <w:rsid w:val="005B380F"/>
    <w:rsid w:val="005B4347"/>
    <w:rsid w:val="005B4BE2"/>
    <w:rsid w:val="005B6FE6"/>
    <w:rsid w:val="005B7A64"/>
    <w:rsid w:val="005C02EC"/>
    <w:rsid w:val="005C088E"/>
    <w:rsid w:val="005C2F9E"/>
    <w:rsid w:val="005C39BF"/>
    <w:rsid w:val="005C47B3"/>
    <w:rsid w:val="005C6654"/>
    <w:rsid w:val="005C7812"/>
    <w:rsid w:val="005C7F3F"/>
    <w:rsid w:val="005D0833"/>
    <w:rsid w:val="005D2075"/>
    <w:rsid w:val="005D290D"/>
    <w:rsid w:val="005D2B73"/>
    <w:rsid w:val="005D53F5"/>
    <w:rsid w:val="005D5BA6"/>
    <w:rsid w:val="005E0FAA"/>
    <w:rsid w:val="005E4213"/>
    <w:rsid w:val="005E42E1"/>
    <w:rsid w:val="005E68C9"/>
    <w:rsid w:val="005E742A"/>
    <w:rsid w:val="005E7E8A"/>
    <w:rsid w:val="005F0E3D"/>
    <w:rsid w:val="005F1804"/>
    <w:rsid w:val="005F6BEA"/>
    <w:rsid w:val="005F7331"/>
    <w:rsid w:val="00600768"/>
    <w:rsid w:val="0060099F"/>
    <w:rsid w:val="00602D35"/>
    <w:rsid w:val="00607B8E"/>
    <w:rsid w:val="00610290"/>
    <w:rsid w:val="00612760"/>
    <w:rsid w:val="006139A6"/>
    <w:rsid w:val="006167DD"/>
    <w:rsid w:val="00617674"/>
    <w:rsid w:val="006209F0"/>
    <w:rsid w:val="00620BC4"/>
    <w:rsid w:val="006254D0"/>
    <w:rsid w:val="00625C03"/>
    <w:rsid w:val="0063054F"/>
    <w:rsid w:val="00630A26"/>
    <w:rsid w:val="00631978"/>
    <w:rsid w:val="00632CF5"/>
    <w:rsid w:val="00636429"/>
    <w:rsid w:val="006366D8"/>
    <w:rsid w:val="0063762B"/>
    <w:rsid w:val="00642486"/>
    <w:rsid w:val="00644ED3"/>
    <w:rsid w:val="00646E79"/>
    <w:rsid w:val="00651977"/>
    <w:rsid w:val="006526C1"/>
    <w:rsid w:val="00652E67"/>
    <w:rsid w:val="006547D0"/>
    <w:rsid w:val="006548C4"/>
    <w:rsid w:val="00660AD9"/>
    <w:rsid w:val="00660CDA"/>
    <w:rsid w:val="00661D4C"/>
    <w:rsid w:val="00661E0B"/>
    <w:rsid w:val="0066309B"/>
    <w:rsid w:val="006630DA"/>
    <w:rsid w:val="00663B38"/>
    <w:rsid w:val="0066467C"/>
    <w:rsid w:val="006657DF"/>
    <w:rsid w:val="006667D6"/>
    <w:rsid w:val="00667E3C"/>
    <w:rsid w:val="006700C7"/>
    <w:rsid w:val="00671299"/>
    <w:rsid w:val="00673FE0"/>
    <w:rsid w:val="0067429A"/>
    <w:rsid w:val="00676AC4"/>
    <w:rsid w:val="00677584"/>
    <w:rsid w:val="00681B23"/>
    <w:rsid w:val="006826DD"/>
    <w:rsid w:val="00682BB4"/>
    <w:rsid w:val="00682C21"/>
    <w:rsid w:val="00684086"/>
    <w:rsid w:val="00684345"/>
    <w:rsid w:val="0068467B"/>
    <w:rsid w:val="00684E44"/>
    <w:rsid w:val="00687179"/>
    <w:rsid w:val="0069263E"/>
    <w:rsid w:val="00692D62"/>
    <w:rsid w:val="00693385"/>
    <w:rsid w:val="00693BBE"/>
    <w:rsid w:val="00695A40"/>
    <w:rsid w:val="00695CB8"/>
    <w:rsid w:val="00695F47"/>
    <w:rsid w:val="00696008"/>
    <w:rsid w:val="006A1B21"/>
    <w:rsid w:val="006A22DA"/>
    <w:rsid w:val="006A548F"/>
    <w:rsid w:val="006B1668"/>
    <w:rsid w:val="006B21D5"/>
    <w:rsid w:val="006B3A92"/>
    <w:rsid w:val="006B3C1A"/>
    <w:rsid w:val="006B44D8"/>
    <w:rsid w:val="006B56D1"/>
    <w:rsid w:val="006B58C6"/>
    <w:rsid w:val="006B6969"/>
    <w:rsid w:val="006C0CFF"/>
    <w:rsid w:val="006C16AA"/>
    <w:rsid w:val="006C545D"/>
    <w:rsid w:val="006C5E74"/>
    <w:rsid w:val="006C6A49"/>
    <w:rsid w:val="006C7241"/>
    <w:rsid w:val="006C7C57"/>
    <w:rsid w:val="006D028B"/>
    <w:rsid w:val="006D1604"/>
    <w:rsid w:val="006D39AA"/>
    <w:rsid w:val="006D3BC2"/>
    <w:rsid w:val="006D5AE1"/>
    <w:rsid w:val="006D5C12"/>
    <w:rsid w:val="006D5F9B"/>
    <w:rsid w:val="006D7555"/>
    <w:rsid w:val="006D7DEC"/>
    <w:rsid w:val="006E0987"/>
    <w:rsid w:val="006E0B6C"/>
    <w:rsid w:val="006E19DD"/>
    <w:rsid w:val="006E2235"/>
    <w:rsid w:val="006E34F8"/>
    <w:rsid w:val="006E3AB6"/>
    <w:rsid w:val="006E3C60"/>
    <w:rsid w:val="006E4835"/>
    <w:rsid w:val="006E629B"/>
    <w:rsid w:val="006E69AC"/>
    <w:rsid w:val="006F016C"/>
    <w:rsid w:val="006F0780"/>
    <w:rsid w:val="006F28F5"/>
    <w:rsid w:val="006F3D6C"/>
    <w:rsid w:val="006F48A6"/>
    <w:rsid w:val="006F654C"/>
    <w:rsid w:val="00700BC8"/>
    <w:rsid w:val="00701072"/>
    <w:rsid w:val="00703C83"/>
    <w:rsid w:val="00706AD7"/>
    <w:rsid w:val="0071004F"/>
    <w:rsid w:val="00712A94"/>
    <w:rsid w:val="0071315A"/>
    <w:rsid w:val="00713CF6"/>
    <w:rsid w:val="00715AC8"/>
    <w:rsid w:val="00717969"/>
    <w:rsid w:val="00720F83"/>
    <w:rsid w:val="00721765"/>
    <w:rsid w:val="0072221B"/>
    <w:rsid w:val="007222A6"/>
    <w:rsid w:val="00722F68"/>
    <w:rsid w:val="007240C3"/>
    <w:rsid w:val="007251D5"/>
    <w:rsid w:val="00725FF3"/>
    <w:rsid w:val="007261B3"/>
    <w:rsid w:val="0073084E"/>
    <w:rsid w:val="00732600"/>
    <w:rsid w:val="00733D49"/>
    <w:rsid w:val="00735629"/>
    <w:rsid w:val="00741490"/>
    <w:rsid w:val="00741D4D"/>
    <w:rsid w:val="00742C44"/>
    <w:rsid w:val="007431AF"/>
    <w:rsid w:val="007433C2"/>
    <w:rsid w:val="0074396B"/>
    <w:rsid w:val="00747366"/>
    <w:rsid w:val="00747533"/>
    <w:rsid w:val="007476D9"/>
    <w:rsid w:val="0075095D"/>
    <w:rsid w:val="007509CD"/>
    <w:rsid w:val="0075269D"/>
    <w:rsid w:val="00753422"/>
    <w:rsid w:val="00754F80"/>
    <w:rsid w:val="00762EBF"/>
    <w:rsid w:val="007702B0"/>
    <w:rsid w:val="007718D8"/>
    <w:rsid w:val="0077522D"/>
    <w:rsid w:val="007768B6"/>
    <w:rsid w:val="00777FE1"/>
    <w:rsid w:val="007809B8"/>
    <w:rsid w:val="00780BFE"/>
    <w:rsid w:val="00783481"/>
    <w:rsid w:val="0078399C"/>
    <w:rsid w:val="007878E6"/>
    <w:rsid w:val="00790CB8"/>
    <w:rsid w:val="00790E1D"/>
    <w:rsid w:val="0079189D"/>
    <w:rsid w:val="007929D7"/>
    <w:rsid w:val="007943AD"/>
    <w:rsid w:val="00795F4C"/>
    <w:rsid w:val="007A575B"/>
    <w:rsid w:val="007A678B"/>
    <w:rsid w:val="007A7659"/>
    <w:rsid w:val="007B1595"/>
    <w:rsid w:val="007B2636"/>
    <w:rsid w:val="007B2BB5"/>
    <w:rsid w:val="007B37F6"/>
    <w:rsid w:val="007B3F68"/>
    <w:rsid w:val="007C0A84"/>
    <w:rsid w:val="007C0D59"/>
    <w:rsid w:val="007C1F61"/>
    <w:rsid w:val="007C498D"/>
    <w:rsid w:val="007C5477"/>
    <w:rsid w:val="007C6629"/>
    <w:rsid w:val="007D1FF7"/>
    <w:rsid w:val="007D3208"/>
    <w:rsid w:val="007D3971"/>
    <w:rsid w:val="007E2D32"/>
    <w:rsid w:val="007E329C"/>
    <w:rsid w:val="007E3B07"/>
    <w:rsid w:val="007E4C87"/>
    <w:rsid w:val="007E5B09"/>
    <w:rsid w:val="007E693B"/>
    <w:rsid w:val="007E6F7F"/>
    <w:rsid w:val="007F04A7"/>
    <w:rsid w:val="007F0513"/>
    <w:rsid w:val="007F2F3D"/>
    <w:rsid w:val="007F4595"/>
    <w:rsid w:val="007F52DA"/>
    <w:rsid w:val="007F53C4"/>
    <w:rsid w:val="007F6950"/>
    <w:rsid w:val="007F6C6F"/>
    <w:rsid w:val="007F717E"/>
    <w:rsid w:val="00802867"/>
    <w:rsid w:val="0080399B"/>
    <w:rsid w:val="0080456F"/>
    <w:rsid w:val="00806063"/>
    <w:rsid w:val="00806500"/>
    <w:rsid w:val="0080693B"/>
    <w:rsid w:val="00810C19"/>
    <w:rsid w:val="00811155"/>
    <w:rsid w:val="008115EB"/>
    <w:rsid w:val="00812082"/>
    <w:rsid w:val="008244A0"/>
    <w:rsid w:val="0082554E"/>
    <w:rsid w:val="00832822"/>
    <w:rsid w:val="00832E20"/>
    <w:rsid w:val="0083325E"/>
    <w:rsid w:val="00834C06"/>
    <w:rsid w:val="008354AC"/>
    <w:rsid w:val="0083644F"/>
    <w:rsid w:val="0084341B"/>
    <w:rsid w:val="00843D4F"/>
    <w:rsid w:val="008451B1"/>
    <w:rsid w:val="008452E1"/>
    <w:rsid w:val="008471AE"/>
    <w:rsid w:val="0085159A"/>
    <w:rsid w:val="008520E5"/>
    <w:rsid w:val="00853C95"/>
    <w:rsid w:val="0085435F"/>
    <w:rsid w:val="008543BC"/>
    <w:rsid w:val="008546F1"/>
    <w:rsid w:val="00854A4D"/>
    <w:rsid w:val="00854AB9"/>
    <w:rsid w:val="0085542F"/>
    <w:rsid w:val="00855C4A"/>
    <w:rsid w:val="00855CC5"/>
    <w:rsid w:val="00856AFD"/>
    <w:rsid w:val="00862B21"/>
    <w:rsid w:val="00864335"/>
    <w:rsid w:val="00871AE4"/>
    <w:rsid w:val="00871EA9"/>
    <w:rsid w:val="00872239"/>
    <w:rsid w:val="008727EA"/>
    <w:rsid w:val="008738B3"/>
    <w:rsid w:val="00875591"/>
    <w:rsid w:val="00876C29"/>
    <w:rsid w:val="008773F9"/>
    <w:rsid w:val="008809FF"/>
    <w:rsid w:val="00880FDA"/>
    <w:rsid w:val="008828CD"/>
    <w:rsid w:val="00882A9B"/>
    <w:rsid w:val="00883597"/>
    <w:rsid w:val="0088538A"/>
    <w:rsid w:val="00886378"/>
    <w:rsid w:val="00886EAB"/>
    <w:rsid w:val="00891347"/>
    <w:rsid w:val="008913AD"/>
    <w:rsid w:val="00892B81"/>
    <w:rsid w:val="00892CD5"/>
    <w:rsid w:val="00892DBE"/>
    <w:rsid w:val="008935D1"/>
    <w:rsid w:val="008950E6"/>
    <w:rsid w:val="0089528A"/>
    <w:rsid w:val="00896105"/>
    <w:rsid w:val="0089642B"/>
    <w:rsid w:val="00896D4C"/>
    <w:rsid w:val="008A2464"/>
    <w:rsid w:val="008A4864"/>
    <w:rsid w:val="008A4CD3"/>
    <w:rsid w:val="008A5E83"/>
    <w:rsid w:val="008A7669"/>
    <w:rsid w:val="008B1041"/>
    <w:rsid w:val="008B10E6"/>
    <w:rsid w:val="008B11F9"/>
    <w:rsid w:val="008B16EC"/>
    <w:rsid w:val="008B288E"/>
    <w:rsid w:val="008B2D13"/>
    <w:rsid w:val="008B6C5E"/>
    <w:rsid w:val="008B759A"/>
    <w:rsid w:val="008C0597"/>
    <w:rsid w:val="008C1D57"/>
    <w:rsid w:val="008C2168"/>
    <w:rsid w:val="008C2701"/>
    <w:rsid w:val="008C2B06"/>
    <w:rsid w:val="008C3B69"/>
    <w:rsid w:val="008C3C9A"/>
    <w:rsid w:val="008C57AC"/>
    <w:rsid w:val="008C699D"/>
    <w:rsid w:val="008C7A13"/>
    <w:rsid w:val="008D2C1C"/>
    <w:rsid w:val="008D355B"/>
    <w:rsid w:val="008D37E8"/>
    <w:rsid w:val="008D3E14"/>
    <w:rsid w:val="008D64C2"/>
    <w:rsid w:val="008E07B7"/>
    <w:rsid w:val="008E08D1"/>
    <w:rsid w:val="008E21D3"/>
    <w:rsid w:val="008E234A"/>
    <w:rsid w:val="008E383E"/>
    <w:rsid w:val="008E434A"/>
    <w:rsid w:val="008F076E"/>
    <w:rsid w:val="008F16B2"/>
    <w:rsid w:val="008F247E"/>
    <w:rsid w:val="008F2834"/>
    <w:rsid w:val="008F438E"/>
    <w:rsid w:val="008F4BFC"/>
    <w:rsid w:val="008F4DF0"/>
    <w:rsid w:val="008F55D3"/>
    <w:rsid w:val="008F6301"/>
    <w:rsid w:val="008F66E3"/>
    <w:rsid w:val="00900FDB"/>
    <w:rsid w:val="0090187F"/>
    <w:rsid w:val="00903357"/>
    <w:rsid w:val="00904B4C"/>
    <w:rsid w:val="00904D34"/>
    <w:rsid w:val="0090656A"/>
    <w:rsid w:val="0090705E"/>
    <w:rsid w:val="009116EB"/>
    <w:rsid w:val="00915B56"/>
    <w:rsid w:val="00917BB8"/>
    <w:rsid w:val="0092004D"/>
    <w:rsid w:val="009203EF"/>
    <w:rsid w:val="00920D0C"/>
    <w:rsid w:val="00921585"/>
    <w:rsid w:val="009257D0"/>
    <w:rsid w:val="0092594B"/>
    <w:rsid w:val="009265EA"/>
    <w:rsid w:val="009275CA"/>
    <w:rsid w:val="0092768F"/>
    <w:rsid w:val="00930FCD"/>
    <w:rsid w:val="0093379B"/>
    <w:rsid w:val="009355E8"/>
    <w:rsid w:val="00935ED3"/>
    <w:rsid w:val="00936D0B"/>
    <w:rsid w:val="0093782D"/>
    <w:rsid w:val="0094109F"/>
    <w:rsid w:val="009446C1"/>
    <w:rsid w:val="009457EB"/>
    <w:rsid w:val="0094591B"/>
    <w:rsid w:val="00945C88"/>
    <w:rsid w:val="00946555"/>
    <w:rsid w:val="009505BB"/>
    <w:rsid w:val="00952414"/>
    <w:rsid w:val="009540AE"/>
    <w:rsid w:val="00954B8F"/>
    <w:rsid w:val="00954F94"/>
    <w:rsid w:val="00957A2F"/>
    <w:rsid w:val="0096052F"/>
    <w:rsid w:val="009609FF"/>
    <w:rsid w:val="0096179D"/>
    <w:rsid w:val="00963038"/>
    <w:rsid w:val="00963064"/>
    <w:rsid w:val="00965A03"/>
    <w:rsid w:val="00966DFE"/>
    <w:rsid w:val="009677DE"/>
    <w:rsid w:val="009715BF"/>
    <w:rsid w:val="009715C0"/>
    <w:rsid w:val="00971EB5"/>
    <w:rsid w:val="00972EEB"/>
    <w:rsid w:val="0097408A"/>
    <w:rsid w:val="00974F48"/>
    <w:rsid w:val="00974FAE"/>
    <w:rsid w:val="00975AE3"/>
    <w:rsid w:val="00980E95"/>
    <w:rsid w:val="0098100D"/>
    <w:rsid w:val="009827A9"/>
    <w:rsid w:val="00982CF7"/>
    <w:rsid w:val="009838E7"/>
    <w:rsid w:val="009845AE"/>
    <w:rsid w:val="00984C90"/>
    <w:rsid w:val="0098593B"/>
    <w:rsid w:val="00985E9B"/>
    <w:rsid w:val="009870E0"/>
    <w:rsid w:val="00987497"/>
    <w:rsid w:val="00987A79"/>
    <w:rsid w:val="009931E4"/>
    <w:rsid w:val="0099604E"/>
    <w:rsid w:val="009979FF"/>
    <w:rsid w:val="009A0C09"/>
    <w:rsid w:val="009A3F12"/>
    <w:rsid w:val="009A45EA"/>
    <w:rsid w:val="009A4DD4"/>
    <w:rsid w:val="009B0537"/>
    <w:rsid w:val="009B06D7"/>
    <w:rsid w:val="009B0B72"/>
    <w:rsid w:val="009B2360"/>
    <w:rsid w:val="009B3883"/>
    <w:rsid w:val="009B58FA"/>
    <w:rsid w:val="009B59B1"/>
    <w:rsid w:val="009B5EBF"/>
    <w:rsid w:val="009B6265"/>
    <w:rsid w:val="009C2B6C"/>
    <w:rsid w:val="009C3008"/>
    <w:rsid w:val="009C3B76"/>
    <w:rsid w:val="009C6553"/>
    <w:rsid w:val="009C73A2"/>
    <w:rsid w:val="009C7DE2"/>
    <w:rsid w:val="009D079B"/>
    <w:rsid w:val="009D195D"/>
    <w:rsid w:val="009D2646"/>
    <w:rsid w:val="009D2A10"/>
    <w:rsid w:val="009D412B"/>
    <w:rsid w:val="009D4861"/>
    <w:rsid w:val="009E278E"/>
    <w:rsid w:val="009E3547"/>
    <w:rsid w:val="009E4A02"/>
    <w:rsid w:val="009E6D55"/>
    <w:rsid w:val="009E74FB"/>
    <w:rsid w:val="009F0DFD"/>
    <w:rsid w:val="009F211A"/>
    <w:rsid w:val="009F4D45"/>
    <w:rsid w:val="009F5215"/>
    <w:rsid w:val="009F63D2"/>
    <w:rsid w:val="009F6B22"/>
    <w:rsid w:val="00A02200"/>
    <w:rsid w:val="00A042BD"/>
    <w:rsid w:val="00A06D93"/>
    <w:rsid w:val="00A0788D"/>
    <w:rsid w:val="00A10893"/>
    <w:rsid w:val="00A1163E"/>
    <w:rsid w:val="00A11BB7"/>
    <w:rsid w:val="00A11F9C"/>
    <w:rsid w:val="00A12650"/>
    <w:rsid w:val="00A12CAC"/>
    <w:rsid w:val="00A140A0"/>
    <w:rsid w:val="00A1678B"/>
    <w:rsid w:val="00A167AB"/>
    <w:rsid w:val="00A172E4"/>
    <w:rsid w:val="00A17301"/>
    <w:rsid w:val="00A175BC"/>
    <w:rsid w:val="00A22314"/>
    <w:rsid w:val="00A22379"/>
    <w:rsid w:val="00A22F56"/>
    <w:rsid w:val="00A24026"/>
    <w:rsid w:val="00A24F38"/>
    <w:rsid w:val="00A303F5"/>
    <w:rsid w:val="00A30C99"/>
    <w:rsid w:val="00A316B9"/>
    <w:rsid w:val="00A33086"/>
    <w:rsid w:val="00A34073"/>
    <w:rsid w:val="00A35A34"/>
    <w:rsid w:val="00A35BBE"/>
    <w:rsid w:val="00A36901"/>
    <w:rsid w:val="00A438FF"/>
    <w:rsid w:val="00A4465D"/>
    <w:rsid w:val="00A4472C"/>
    <w:rsid w:val="00A44A07"/>
    <w:rsid w:val="00A457CE"/>
    <w:rsid w:val="00A4657B"/>
    <w:rsid w:val="00A479D7"/>
    <w:rsid w:val="00A47D42"/>
    <w:rsid w:val="00A510B5"/>
    <w:rsid w:val="00A539B2"/>
    <w:rsid w:val="00A54979"/>
    <w:rsid w:val="00A56F67"/>
    <w:rsid w:val="00A57C4E"/>
    <w:rsid w:val="00A60A90"/>
    <w:rsid w:val="00A60EB8"/>
    <w:rsid w:val="00A62722"/>
    <w:rsid w:val="00A6494D"/>
    <w:rsid w:val="00A663F1"/>
    <w:rsid w:val="00A67D92"/>
    <w:rsid w:val="00A703E3"/>
    <w:rsid w:val="00A71226"/>
    <w:rsid w:val="00A71BA8"/>
    <w:rsid w:val="00A7314A"/>
    <w:rsid w:val="00A73271"/>
    <w:rsid w:val="00A74B7F"/>
    <w:rsid w:val="00A75ACD"/>
    <w:rsid w:val="00A767CA"/>
    <w:rsid w:val="00A77AF1"/>
    <w:rsid w:val="00A8093A"/>
    <w:rsid w:val="00A81FF9"/>
    <w:rsid w:val="00A82D4D"/>
    <w:rsid w:val="00A83717"/>
    <w:rsid w:val="00A853FC"/>
    <w:rsid w:val="00A91478"/>
    <w:rsid w:val="00A93073"/>
    <w:rsid w:val="00A936C4"/>
    <w:rsid w:val="00A93C64"/>
    <w:rsid w:val="00A950BF"/>
    <w:rsid w:val="00A95B60"/>
    <w:rsid w:val="00A960FD"/>
    <w:rsid w:val="00A96835"/>
    <w:rsid w:val="00A9736C"/>
    <w:rsid w:val="00AA1830"/>
    <w:rsid w:val="00AA2206"/>
    <w:rsid w:val="00AA6598"/>
    <w:rsid w:val="00AB1B92"/>
    <w:rsid w:val="00AC11D1"/>
    <w:rsid w:val="00AC202A"/>
    <w:rsid w:val="00AC3E15"/>
    <w:rsid w:val="00AC420E"/>
    <w:rsid w:val="00AC538F"/>
    <w:rsid w:val="00AC6842"/>
    <w:rsid w:val="00AD16A3"/>
    <w:rsid w:val="00AD2232"/>
    <w:rsid w:val="00AD47F9"/>
    <w:rsid w:val="00AD73BB"/>
    <w:rsid w:val="00AD7976"/>
    <w:rsid w:val="00AE00D9"/>
    <w:rsid w:val="00AE0E27"/>
    <w:rsid w:val="00AE0EC1"/>
    <w:rsid w:val="00AE1794"/>
    <w:rsid w:val="00AE1989"/>
    <w:rsid w:val="00AE1F99"/>
    <w:rsid w:val="00AE22D2"/>
    <w:rsid w:val="00AE39DE"/>
    <w:rsid w:val="00AF01FA"/>
    <w:rsid w:val="00AF0480"/>
    <w:rsid w:val="00AF0C33"/>
    <w:rsid w:val="00AF0D7D"/>
    <w:rsid w:val="00AF0F06"/>
    <w:rsid w:val="00AF1246"/>
    <w:rsid w:val="00AF2A7E"/>
    <w:rsid w:val="00AF2C27"/>
    <w:rsid w:val="00AF3BD0"/>
    <w:rsid w:val="00AF6E04"/>
    <w:rsid w:val="00AF7A09"/>
    <w:rsid w:val="00B00633"/>
    <w:rsid w:val="00B009A1"/>
    <w:rsid w:val="00B01743"/>
    <w:rsid w:val="00B02821"/>
    <w:rsid w:val="00B0307A"/>
    <w:rsid w:val="00B037F2"/>
    <w:rsid w:val="00B06BFC"/>
    <w:rsid w:val="00B10E2B"/>
    <w:rsid w:val="00B12940"/>
    <w:rsid w:val="00B13DE6"/>
    <w:rsid w:val="00B142DF"/>
    <w:rsid w:val="00B153C3"/>
    <w:rsid w:val="00B168A3"/>
    <w:rsid w:val="00B2504F"/>
    <w:rsid w:val="00B2626C"/>
    <w:rsid w:val="00B276DE"/>
    <w:rsid w:val="00B27E40"/>
    <w:rsid w:val="00B328A4"/>
    <w:rsid w:val="00B3303B"/>
    <w:rsid w:val="00B344A0"/>
    <w:rsid w:val="00B36B12"/>
    <w:rsid w:val="00B37086"/>
    <w:rsid w:val="00B40776"/>
    <w:rsid w:val="00B42523"/>
    <w:rsid w:val="00B449CB"/>
    <w:rsid w:val="00B45E02"/>
    <w:rsid w:val="00B46695"/>
    <w:rsid w:val="00B46710"/>
    <w:rsid w:val="00B47254"/>
    <w:rsid w:val="00B474A4"/>
    <w:rsid w:val="00B51533"/>
    <w:rsid w:val="00B528DE"/>
    <w:rsid w:val="00B52BA2"/>
    <w:rsid w:val="00B5365B"/>
    <w:rsid w:val="00B546E3"/>
    <w:rsid w:val="00B54CDE"/>
    <w:rsid w:val="00B553C1"/>
    <w:rsid w:val="00B554CD"/>
    <w:rsid w:val="00B56279"/>
    <w:rsid w:val="00B563B0"/>
    <w:rsid w:val="00B602B6"/>
    <w:rsid w:val="00B61B93"/>
    <w:rsid w:val="00B627E6"/>
    <w:rsid w:val="00B64890"/>
    <w:rsid w:val="00B64B7C"/>
    <w:rsid w:val="00B65EFB"/>
    <w:rsid w:val="00B661BC"/>
    <w:rsid w:val="00B66790"/>
    <w:rsid w:val="00B70968"/>
    <w:rsid w:val="00B714A4"/>
    <w:rsid w:val="00B71B38"/>
    <w:rsid w:val="00B73D0F"/>
    <w:rsid w:val="00B73F8B"/>
    <w:rsid w:val="00B779CD"/>
    <w:rsid w:val="00B77ED2"/>
    <w:rsid w:val="00B80FB6"/>
    <w:rsid w:val="00B817BD"/>
    <w:rsid w:val="00B83CD5"/>
    <w:rsid w:val="00B854C2"/>
    <w:rsid w:val="00B91EEB"/>
    <w:rsid w:val="00B9602C"/>
    <w:rsid w:val="00B96298"/>
    <w:rsid w:val="00B971C6"/>
    <w:rsid w:val="00BA078C"/>
    <w:rsid w:val="00BA1714"/>
    <w:rsid w:val="00BA2586"/>
    <w:rsid w:val="00BA5F36"/>
    <w:rsid w:val="00BA6071"/>
    <w:rsid w:val="00BA77DA"/>
    <w:rsid w:val="00BB0146"/>
    <w:rsid w:val="00BB0FAB"/>
    <w:rsid w:val="00BB13C3"/>
    <w:rsid w:val="00BB17E5"/>
    <w:rsid w:val="00BB27FE"/>
    <w:rsid w:val="00BB3D2B"/>
    <w:rsid w:val="00BB3F8F"/>
    <w:rsid w:val="00BB493D"/>
    <w:rsid w:val="00BB56FD"/>
    <w:rsid w:val="00BB6A50"/>
    <w:rsid w:val="00BB6C15"/>
    <w:rsid w:val="00BB72C1"/>
    <w:rsid w:val="00BB77C4"/>
    <w:rsid w:val="00BC0CBF"/>
    <w:rsid w:val="00BC1EC5"/>
    <w:rsid w:val="00BC4A0A"/>
    <w:rsid w:val="00BC5838"/>
    <w:rsid w:val="00BC6ACC"/>
    <w:rsid w:val="00BD0205"/>
    <w:rsid w:val="00BD1F58"/>
    <w:rsid w:val="00BD1FEA"/>
    <w:rsid w:val="00BD56EF"/>
    <w:rsid w:val="00BD588E"/>
    <w:rsid w:val="00BE1E00"/>
    <w:rsid w:val="00BE31F1"/>
    <w:rsid w:val="00BE4276"/>
    <w:rsid w:val="00BE5547"/>
    <w:rsid w:val="00BE5DA4"/>
    <w:rsid w:val="00BE5DE1"/>
    <w:rsid w:val="00BE5F5C"/>
    <w:rsid w:val="00BE7601"/>
    <w:rsid w:val="00BF0B5C"/>
    <w:rsid w:val="00BF37EC"/>
    <w:rsid w:val="00BF40E3"/>
    <w:rsid w:val="00BF57BC"/>
    <w:rsid w:val="00BF60CE"/>
    <w:rsid w:val="00BF6AF1"/>
    <w:rsid w:val="00BF753A"/>
    <w:rsid w:val="00C0225E"/>
    <w:rsid w:val="00C04E35"/>
    <w:rsid w:val="00C0541E"/>
    <w:rsid w:val="00C056B3"/>
    <w:rsid w:val="00C056E1"/>
    <w:rsid w:val="00C06249"/>
    <w:rsid w:val="00C064C2"/>
    <w:rsid w:val="00C11CAC"/>
    <w:rsid w:val="00C1353B"/>
    <w:rsid w:val="00C1507F"/>
    <w:rsid w:val="00C17580"/>
    <w:rsid w:val="00C21376"/>
    <w:rsid w:val="00C21A52"/>
    <w:rsid w:val="00C238D7"/>
    <w:rsid w:val="00C2585C"/>
    <w:rsid w:val="00C25956"/>
    <w:rsid w:val="00C25F52"/>
    <w:rsid w:val="00C265F6"/>
    <w:rsid w:val="00C30318"/>
    <w:rsid w:val="00C336A2"/>
    <w:rsid w:val="00C33C2A"/>
    <w:rsid w:val="00C3781C"/>
    <w:rsid w:val="00C37A2B"/>
    <w:rsid w:val="00C40BAC"/>
    <w:rsid w:val="00C41B14"/>
    <w:rsid w:val="00C41D8C"/>
    <w:rsid w:val="00C44B87"/>
    <w:rsid w:val="00C4589E"/>
    <w:rsid w:val="00C523B9"/>
    <w:rsid w:val="00C528F3"/>
    <w:rsid w:val="00C5433B"/>
    <w:rsid w:val="00C57F22"/>
    <w:rsid w:val="00C6018E"/>
    <w:rsid w:val="00C620EE"/>
    <w:rsid w:val="00C62ACD"/>
    <w:rsid w:val="00C634E0"/>
    <w:rsid w:val="00C64602"/>
    <w:rsid w:val="00C654AB"/>
    <w:rsid w:val="00C65812"/>
    <w:rsid w:val="00C67058"/>
    <w:rsid w:val="00C67219"/>
    <w:rsid w:val="00C722A1"/>
    <w:rsid w:val="00C725C1"/>
    <w:rsid w:val="00C732A5"/>
    <w:rsid w:val="00C736F3"/>
    <w:rsid w:val="00C73908"/>
    <w:rsid w:val="00C739A5"/>
    <w:rsid w:val="00C802AB"/>
    <w:rsid w:val="00C80845"/>
    <w:rsid w:val="00C83EF2"/>
    <w:rsid w:val="00C867B8"/>
    <w:rsid w:val="00C90070"/>
    <w:rsid w:val="00C91FEE"/>
    <w:rsid w:val="00C92339"/>
    <w:rsid w:val="00C92C58"/>
    <w:rsid w:val="00C93574"/>
    <w:rsid w:val="00C936E0"/>
    <w:rsid w:val="00C93B7C"/>
    <w:rsid w:val="00C9443A"/>
    <w:rsid w:val="00CA24E3"/>
    <w:rsid w:val="00CA25F4"/>
    <w:rsid w:val="00CA44C9"/>
    <w:rsid w:val="00CA608B"/>
    <w:rsid w:val="00CB2B41"/>
    <w:rsid w:val="00CB3266"/>
    <w:rsid w:val="00CB3CE7"/>
    <w:rsid w:val="00CB4548"/>
    <w:rsid w:val="00CB6612"/>
    <w:rsid w:val="00CB6AAA"/>
    <w:rsid w:val="00CC05F3"/>
    <w:rsid w:val="00CC0C75"/>
    <w:rsid w:val="00CC135A"/>
    <w:rsid w:val="00CC15FC"/>
    <w:rsid w:val="00CC2461"/>
    <w:rsid w:val="00CC2A28"/>
    <w:rsid w:val="00CC3A60"/>
    <w:rsid w:val="00CC5F06"/>
    <w:rsid w:val="00CC6E54"/>
    <w:rsid w:val="00CC78DF"/>
    <w:rsid w:val="00CC7D62"/>
    <w:rsid w:val="00CD0773"/>
    <w:rsid w:val="00CD176D"/>
    <w:rsid w:val="00CD2EA8"/>
    <w:rsid w:val="00CD33B0"/>
    <w:rsid w:val="00CD6211"/>
    <w:rsid w:val="00CD7B12"/>
    <w:rsid w:val="00CE020F"/>
    <w:rsid w:val="00CE1600"/>
    <w:rsid w:val="00CE27E9"/>
    <w:rsid w:val="00CE37C7"/>
    <w:rsid w:val="00CE4FB3"/>
    <w:rsid w:val="00CE50C1"/>
    <w:rsid w:val="00CE6470"/>
    <w:rsid w:val="00CE687B"/>
    <w:rsid w:val="00CF0C2F"/>
    <w:rsid w:val="00CF1E8B"/>
    <w:rsid w:val="00CF2C2B"/>
    <w:rsid w:val="00CF37D4"/>
    <w:rsid w:val="00CF51D3"/>
    <w:rsid w:val="00CF556E"/>
    <w:rsid w:val="00CF559E"/>
    <w:rsid w:val="00CF5AE8"/>
    <w:rsid w:val="00CF6B4A"/>
    <w:rsid w:val="00CF78D0"/>
    <w:rsid w:val="00D00188"/>
    <w:rsid w:val="00D02246"/>
    <w:rsid w:val="00D03532"/>
    <w:rsid w:val="00D04191"/>
    <w:rsid w:val="00D0545A"/>
    <w:rsid w:val="00D079FC"/>
    <w:rsid w:val="00D11FE9"/>
    <w:rsid w:val="00D1417D"/>
    <w:rsid w:val="00D157A8"/>
    <w:rsid w:val="00D207EF"/>
    <w:rsid w:val="00D20E13"/>
    <w:rsid w:val="00D23707"/>
    <w:rsid w:val="00D24619"/>
    <w:rsid w:val="00D25302"/>
    <w:rsid w:val="00D26944"/>
    <w:rsid w:val="00D26E87"/>
    <w:rsid w:val="00D26FF8"/>
    <w:rsid w:val="00D2757B"/>
    <w:rsid w:val="00D30AA0"/>
    <w:rsid w:val="00D351B4"/>
    <w:rsid w:val="00D4092D"/>
    <w:rsid w:val="00D418C0"/>
    <w:rsid w:val="00D430EA"/>
    <w:rsid w:val="00D435FA"/>
    <w:rsid w:val="00D4386E"/>
    <w:rsid w:val="00D45B45"/>
    <w:rsid w:val="00D46187"/>
    <w:rsid w:val="00D46D00"/>
    <w:rsid w:val="00D4716C"/>
    <w:rsid w:val="00D473E0"/>
    <w:rsid w:val="00D507EA"/>
    <w:rsid w:val="00D51738"/>
    <w:rsid w:val="00D52096"/>
    <w:rsid w:val="00D5245B"/>
    <w:rsid w:val="00D5338E"/>
    <w:rsid w:val="00D53EB3"/>
    <w:rsid w:val="00D55F10"/>
    <w:rsid w:val="00D6018C"/>
    <w:rsid w:val="00D60320"/>
    <w:rsid w:val="00D60D98"/>
    <w:rsid w:val="00D63F6C"/>
    <w:rsid w:val="00D640EE"/>
    <w:rsid w:val="00D64282"/>
    <w:rsid w:val="00D6465E"/>
    <w:rsid w:val="00D652EF"/>
    <w:rsid w:val="00D65859"/>
    <w:rsid w:val="00D65894"/>
    <w:rsid w:val="00D664FD"/>
    <w:rsid w:val="00D70416"/>
    <w:rsid w:val="00D71C5F"/>
    <w:rsid w:val="00D75055"/>
    <w:rsid w:val="00D80A91"/>
    <w:rsid w:val="00D815F2"/>
    <w:rsid w:val="00D85645"/>
    <w:rsid w:val="00D85F3E"/>
    <w:rsid w:val="00D8673F"/>
    <w:rsid w:val="00D86E0D"/>
    <w:rsid w:val="00D871AD"/>
    <w:rsid w:val="00D900F3"/>
    <w:rsid w:val="00D92831"/>
    <w:rsid w:val="00D92C41"/>
    <w:rsid w:val="00D93137"/>
    <w:rsid w:val="00D93953"/>
    <w:rsid w:val="00D94BA9"/>
    <w:rsid w:val="00D95418"/>
    <w:rsid w:val="00D9567A"/>
    <w:rsid w:val="00D957F2"/>
    <w:rsid w:val="00D96A78"/>
    <w:rsid w:val="00D97049"/>
    <w:rsid w:val="00D97127"/>
    <w:rsid w:val="00D97920"/>
    <w:rsid w:val="00DA067A"/>
    <w:rsid w:val="00DA1D98"/>
    <w:rsid w:val="00DA25EE"/>
    <w:rsid w:val="00DA38F7"/>
    <w:rsid w:val="00DA3AB0"/>
    <w:rsid w:val="00DB0546"/>
    <w:rsid w:val="00DB3C15"/>
    <w:rsid w:val="00DB3C4D"/>
    <w:rsid w:val="00DB4DAA"/>
    <w:rsid w:val="00DB55C2"/>
    <w:rsid w:val="00DB5EAB"/>
    <w:rsid w:val="00DC1719"/>
    <w:rsid w:val="00DC1AA3"/>
    <w:rsid w:val="00DC28BF"/>
    <w:rsid w:val="00DC4F33"/>
    <w:rsid w:val="00DC601F"/>
    <w:rsid w:val="00DC695B"/>
    <w:rsid w:val="00DC6C45"/>
    <w:rsid w:val="00DD0AEA"/>
    <w:rsid w:val="00DD1D18"/>
    <w:rsid w:val="00DD27BC"/>
    <w:rsid w:val="00DD48FD"/>
    <w:rsid w:val="00DD52FB"/>
    <w:rsid w:val="00DD5D3B"/>
    <w:rsid w:val="00DE0D49"/>
    <w:rsid w:val="00DE1908"/>
    <w:rsid w:val="00DE1B8F"/>
    <w:rsid w:val="00DE2BDE"/>
    <w:rsid w:val="00DE4DC9"/>
    <w:rsid w:val="00DE57B4"/>
    <w:rsid w:val="00DE74BC"/>
    <w:rsid w:val="00DF2AC8"/>
    <w:rsid w:val="00DF5633"/>
    <w:rsid w:val="00DF6A6C"/>
    <w:rsid w:val="00DF6EB9"/>
    <w:rsid w:val="00E0094D"/>
    <w:rsid w:val="00E01733"/>
    <w:rsid w:val="00E04C22"/>
    <w:rsid w:val="00E053F9"/>
    <w:rsid w:val="00E05B3F"/>
    <w:rsid w:val="00E06D16"/>
    <w:rsid w:val="00E10F18"/>
    <w:rsid w:val="00E13F31"/>
    <w:rsid w:val="00E15FC8"/>
    <w:rsid w:val="00E1624E"/>
    <w:rsid w:val="00E167CD"/>
    <w:rsid w:val="00E200F8"/>
    <w:rsid w:val="00E21E27"/>
    <w:rsid w:val="00E228C9"/>
    <w:rsid w:val="00E25875"/>
    <w:rsid w:val="00E25DD4"/>
    <w:rsid w:val="00E26871"/>
    <w:rsid w:val="00E27B73"/>
    <w:rsid w:val="00E3001A"/>
    <w:rsid w:val="00E306EB"/>
    <w:rsid w:val="00E33AC8"/>
    <w:rsid w:val="00E345F4"/>
    <w:rsid w:val="00E347E5"/>
    <w:rsid w:val="00E368E8"/>
    <w:rsid w:val="00E373A2"/>
    <w:rsid w:val="00E40AF4"/>
    <w:rsid w:val="00E412D5"/>
    <w:rsid w:val="00E43267"/>
    <w:rsid w:val="00E4529A"/>
    <w:rsid w:val="00E462D6"/>
    <w:rsid w:val="00E473BC"/>
    <w:rsid w:val="00E51DEE"/>
    <w:rsid w:val="00E51DFE"/>
    <w:rsid w:val="00E52434"/>
    <w:rsid w:val="00E52B3C"/>
    <w:rsid w:val="00E53577"/>
    <w:rsid w:val="00E53965"/>
    <w:rsid w:val="00E56ADB"/>
    <w:rsid w:val="00E604AA"/>
    <w:rsid w:val="00E60EC1"/>
    <w:rsid w:val="00E64054"/>
    <w:rsid w:val="00E70FCC"/>
    <w:rsid w:val="00E720AD"/>
    <w:rsid w:val="00E76FC8"/>
    <w:rsid w:val="00E8177E"/>
    <w:rsid w:val="00E837A3"/>
    <w:rsid w:val="00E85AA6"/>
    <w:rsid w:val="00E87CB9"/>
    <w:rsid w:val="00E91660"/>
    <w:rsid w:val="00E920D0"/>
    <w:rsid w:val="00E923AB"/>
    <w:rsid w:val="00E9654E"/>
    <w:rsid w:val="00E973BA"/>
    <w:rsid w:val="00EA0378"/>
    <w:rsid w:val="00EA1DF4"/>
    <w:rsid w:val="00EA1FAD"/>
    <w:rsid w:val="00EA2515"/>
    <w:rsid w:val="00EA3016"/>
    <w:rsid w:val="00EA42AB"/>
    <w:rsid w:val="00EA4FB9"/>
    <w:rsid w:val="00EA5180"/>
    <w:rsid w:val="00EA5231"/>
    <w:rsid w:val="00EA525E"/>
    <w:rsid w:val="00EA7022"/>
    <w:rsid w:val="00EB2320"/>
    <w:rsid w:val="00EB2FB0"/>
    <w:rsid w:val="00EB343B"/>
    <w:rsid w:val="00EB368A"/>
    <w:rsid w:val="00EB482C"/>
    <w:rsid w:val="00EB549E"/>
    <w:rsid w:val="00EB64D5"/>
    <w:rsid w:val="00EC0729"/>
    <w:rsid w:val="00EC2AA5"/>
    <w:rsid w:val="00EC6102"/>
    <w:rsid w:val="00ED2B6D"/>
    <w:rsid w:val="00ED2C89"/>
    <w:rsid w:val="00ED3A45"/>
    <w:rsid w:val="00ED4F38"/>
    <w:rsid w:val="00ED724B"/>
    <w:rsid w:val="00ED7CB3"/>
    <w:rsid w:val="00ED7EA5"/>
    <w:rsid w:val="00EE11DE"/>
    <w:rsid w:val="00EE29CE"/>
    <w:rsid w:val="00EE4762"/>
    <w:rsid w:val="00EE4A84"/>
    <w:rsid w:val="00EE5E0B"/>
    <w:rsid w:val="00EE73EC"/>
    <w:rsid w:val="00EF013F"/>
    <w:rsid w:val="00EF445D"/>
    <w:rsid w:val="00EF5096"/>
    <w:rsid w:val="00EF52CF"/>
    <w:rsid w:val="00EF7425"/>
    <w:rsid w:val="00EF7A70"/>
    <w:rsid w:val="00F076C9"/>
    <w:rsid w:val="00F11309"/>
    <w:rsid w:val="00F11E90"/>
    <w:rsid w:val="00F122CE"/>
    <w:rsid w:val="00F12524"/>
    <w:rsid w:val="00F126DD"/>
    <w:rsid w:val="00F12982"/>
    <w:rsid w:val="00F13C4A"/>
    <w:rsid w:val="00F14495"/>
    <w:rsid w:val="00F14DC0"/>
    <w:rsid w:val="00F154CB"/>
    <w:rsid w:val="00F200AF"/>
    <w:rsid w:val="00F20499"/>
    <w:rsid w:val="00F217F1"/>
    <w:rsid w:val="00F21B8C"/>
    <w:rsid w:val="00F229D1"/>
    <w:rsid w:val="00F245D8"/>
    <w:rsid w:val="00F24A69"/>
    <w:rsid w:val="00F25512"/>
    <w:rsid w:val="00F2565E"/>
    <w:rsid w:val="00F25BA9"/>
    <w:rsid w:val="00F2632A"/>
    <w:rsid w:val="00F27F80"/>
    <w:rsid w:val="00F35C49"/>
    <w:rsid w:val="00F36181"/>
    <w:rsid w:val="00F3733D"/>
    <w:rsid w:val="00F406E1"/>
    <w:rsid w:val="00F4219A"/>
    <w:rsid w:val="00F4325F"/>
    <w:rsid w:val="00F439AD"/>
    <w:rsid w:val="00F4401C"/>
    <w:rsid w:val="00F45E40"/>
    <w:rsid w:val="00F45FF7"/>
    <w:rsid w:val="00F468FD"/>
    <w:rsid w:val="00F4720F"/>
    <w:rsid w:val="00F503C6"/>
    <w:rsid w:val="00F5288A"/>
    <w:rsid w:val="00F53BCA"/>
    <w:rsid w:val="00F53FF1"/>
    <w:rsid w:val="00F55354"/>
    <w:rsid w:val="00F564BF"/>
    <w:rsid w:val="00F57817"/>
    <w:rsid w:val="00F57E03"/>
    <w:rsid w:val="00F60795"/>
    <w:rsid w:val="00F64C45"/>
    <w:rsid w:val="00F668D8"/>
    <w:rsid w:val="00F67066"/>
    <w:rsid w:val="00F672B7"/>
    <w:rsid w:val="00F70457"/>
    <w:rsid w:val="00F70B02"/>
    <w:rsid w:val="00F715C4"/>
    <w:rsid w:val="00F7202A"/>
    <w:rsid w:val="00F72110"/>
    <w:rsid w:val="00F739EB"/>
    <w:rsid w:val="00F73FBB"/>
    <w:rsid w:val="00F74176"/>
    <w:rsid w:val="00F74874"/>
    <w:rsid w:val="00F76422"/>
    <w:rsid w:val="00F766ED"/>
    <w:rsid w:val="00F77015"/>
    <w:rsid w:val="00F77C5F"/>
    <w:rsid w:val="00F82918"/>
    <w:rsid w:val="00F83670"/>
    <w:rsid w:val="00F83DEC"/>
    <w:rsid w:val="00F848B0"/>
    <w:rsid w:val="00F86FCC"/>
    <w:rsid w:val="00F90B2B"/>
    <w:rsid w:val="00F94007"/>
    <w:rsid w:val="00F978F0"/>
    <w:rsid w:val="00FA0B7D"/>
    <w:rsid w:val="00FA1112"/>
    <w:rsid w:val="00FA2422"/>
    <w:rsid w:val="00FA3CDF"/>
    <w:rsid w:val="00FA4285"/>
    <w:rsid w:val="00FA5117"/>
    <w:rsid w:val="00FB1661"/>
    <w:rsid w:val="00FB1BB7"/>
    <w:rsid w:val="00FB4E1B"/>
    <w:rsid w:val="00FB5B53"/>
    <w:rsid w:val="00FB6BB4"/>
    <w:rsid w:val="00FC04CD"/>
    <w:rsid w:val="00FC1C83"/>
    <w:rsid w:val="00FC2C59"/>
    <w:rsid w:val="00FC2ECD"/>
    <w:rsid w:val="00FC3256"/>
    <w:rsid w:val="00FC63F4"/>
    <w:rsid w:val="00FC6F2B"/>
    <w:rsid w:val="00FC783E"/>
    <w:rsid w:val="00FC7ACC"/>
    <w:rsid w:val="00FD0F45"/>
    <w:rsid w:val="00FD490D"/>
    <w:rsid w:val="00FD4997"/>
    <w:rsid w:val="00FD59D5"/>
    <w:rsid w:val="00FD7362"/>
    <w:rsid w:val="00FD772E"/>
    <w:rsid w:val="00FD7942"/>
    <w:rsid w:val="00FE3376"/>
    <w:rsid w:val="00FE41A7"/>
    <w:rsid w:val="00FF061D"/>
    <w:rsid w:val="00FF35F4"/>
    <w:rsid w:val="00FF3686"/>
    <w:rsid w:val="00FF5CCB"/>
    <w:rsid w:val="00FF6AF7"/>
    <w:rsid w:val="00FF74E4"/>
    <w:rsid w:val="00FF78E1"/>
    <w:rsid w:val="00FF7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D36B4"/>
  <w15:chartTrackingRefBased/>
  <w15:docId w15:val="{063D7D28-815F-438C-BDE4-FBC7F300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369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15907"/>
    <w:pPr>
      <w:tabs>
        <w:tab w:val="center" w:pos="4536"/>
        <w:tab w:val="right" w:pos="9072"/>
      </w:tabs>
    </w:pPr>
  </w:style>
  <w:style w:type="character" w:customStyle="1" w:styleId="NagwekZnak">
    <w:name w:val="Nagłówek Znak"/>
    <w:link w:val="Nagwek"/>
    <w:semiHidden/>
    <w:locked/>
    <w:rPr>
      <w:rFonts w:cs="Times New Roman"/>
      <w:sz w:val="20"/>
      <w:szCs w:val="20"/>
    </w:rPr>
  </w:style>
  <w:style w:type="paragraph" w:styleId="Stopka">
    <w:name w:val="footer"/>
    <w:basedOn w:val="Normalny"/>
    <w:link w:val="StopkaZnak"/>
    <w:rsid w:val="00015907"/>
    <w:pPr>
      <w:tabs>
        <w:tab w:val="center" w:pos="4536"/>
        <w:tab w:val="right" w:pos="9072"/>
      </w:tabs>
    </w:pPr>
  </w:style>
  <w:style w:type="character" w:customStyle="1" w:styleId="StopkaZnak">
    <w:name w:val="Stopka Znak"/>
    <w:link w:val="Stopka"/>
    <w:semiHidden/>
    <w:locked/>
    <w:rPr>
      <w:rFonts w:cs="Times New Roman"/>
      <w:sz w:val="20"/>
      <w:szCs w:val="20"/>
    </w:rPr>
  </w:style>
  <w:style w:type="paragraph" w:styleId="Tekstprzypisudolnego">
    <w:name w:val="footnote text"/>
    <w:basedOn w:val="Normalny"/>
    <w:link w:val="TekstprzypisudolnegoZnak"/>
    <w:semiHidden/>
    <w:rsid w:val="00015907"/>
  </w:style>
  <w:style w:type="character" w:customStyle="1" w:styleId="TekstprzypisudolnegoZnak">
    <w:name w:val="Tekst przypisu dolnego Znak"/>
    <w:link w:val="Tekstprzypisudolnego"/>
    <w:semiHidden/>
    <w:locked/>
    <w:rPr>
      <w:rFonts w:cs="Times New Roman"/>
      <w:sz w:val="20"/>
      <w:szCs w:val="20"/>
    </w:rPr>
  </w:style>
  <w:style w:type="character" w:styleId="Odwoanieprzypisudolnego">
    <w:name w:val="footnote reference"/>
    <w:semiHidden/>
    <w:rsid w:val="00015907"/>
    <w:rPr>
      <w:rFonts w:cs="Times New Roman"/>
      <w:vertAlign w:val="superscript"/>
    </w:rPr>
  </w:style>
  <w:style w:type="character" w:styleId="Odwoaniedokomentarza">
    <w:name w:val="annotation reference"/>
    <w:rsid w:val="003F36EB"/>
    <w:rPr>
      <w:sz w:val="16"/>
      <w:szCs w:val="16"/>
    </w:rPr>
  </w:style>
  <w:style w:type="paragraph" w:styleId="Tekstkomentarza">
    <w:name w:val="annotation text"/>
    <w:basedOn w:val="Normalny"/>
    <w:link w:val="TekstkomentarzaZnak"/>
    <w:rsid w:val="003F36EB"/>
  </w:style>
  <w:style w:type="character" w:customStyle="1" w:styleId="TekstkomentarzaZnak">
    <w:name w:val="Tekst komentarza Znak"/>
    <w:basedOn w:val="Domylnaczcionkaakapitu"/>
    <w:link w:val="Tekstkomentarza"/>
    <w:rsid w:val="003F36EB"/>
  </w:style>
  <w:style w:type="paragraph" w:styleId="Tematkomentarza">
    <w:name w:val="annotation subject"/>
    <w:basedOn w:val="Tekstkomentarza"/>
    <w:next w:val="Tekstkomentarza"/>
    <w:link w:val="TematkomentarzaZnak"/>
    <w:rsid w:val="003F36EB"/>
    <w:rPr>
      <w:b/>
      <w:bCs/>
    </w:rPr>
  </w:style>
  <w:style w:type="character" w:customStyle="1" w:styleId="TematkomentarzaZnak">
    <w:name w:val="Temat komentarza Znak"/>
    <w:link w:val="Tematkomentarza"/>
    <w:rsid w:val="003F36EB"/>
    <w:rPr>
      <w:b/>
      <w:bCs/>
    </w:rPr>
  </w:style>
  <w:style w:type="paragraph" w:styleId="Tekstdymka">
    <w:name w:val="Balloon Text"/>
    <w:basedOn w:val="Normalny"/>
    <w:link w:val="TekstdymkaZnak"/>
    <w:rsid w:val="003F36EB"/>
    <w:rPr>
      <w:rFonts w:ascii="Segoe UI" w:hAnsi="Segoe UI" w:cs="Segoe UI"/>
      <w:sz w:val="18"/>
      <w:szCs w:val="18"/>
    </w:rPr>
  </w:style>
  <w:style w:type="character" w:customStyle="1" w:styleId="TekstdymkaZnak">
    <w:name w:val="Tekst dymka Znak"/>
    <w:link w:val="Tekstdymka"/>
    <w:rsid w:val="003F36EB"/>
    <w:rPr>
      <w:rFonts w:ascii="Segoe UI" w:hAnsi="Segoe UI" w:cs="Segoe UI"/>
      <w:sz w:val="18"/>
      <w:szCs w:val="18"/>
    </w:rPr>
  </w:style>
  <w:style w:type="paragraph" w:customStyle="1" w:styleId="Default">
    <w:name w:val="Default"/>
    <w:rsid w:val="00B344A0"/>
    <w:pPr>
      <w:autoSpaceDE w:val="0"/>
      <w:autoSpaceDN w:val="0"/>
      <w:adjustRightInd w:val="0"/>
    </w:pPr>
    <w:rPr>
      <w:color w:val="000000"/>
      <w:sz w:val="24"/>
      <w:szCs w:val="24"/>
    </w:rPr>
  </w:style>
  <w:style w:type="character" w:styleId="Hipercze">
    <w:name w:val="Hyperlink"/>
    <w:rsid w:val="007251D5"/>
    <w:rPr>
      <w:color w:val="0563C1"/>
      <w:u w:val="single"/>
    </w:rPr>
  </w:style>
  <w:style w:type="character" w:styleId="Nierozpoznanawzmianka">
    <w:name w:val="Unresolved Mention"/>
    <w:basedOn w:val="Domylnaczcionkaakapitu"/>
    <w:uiPriority w:val="99"/>
    <w:semiHidden/>
    <w:unhideWhenUsed/>
    <w:rsid w:val="00393B89"/>
    <w:rPr>
      <w:color w:val="605E5C"/>
      <w:shd w:val="clear" w:color="auto" w:fill="E1DFDD"/>
    </w:rPr>
  </w:style>
  <w:style w:type="paragraph" w:styleId="Akapitzlist">
    <w:name w:val="List Paragraph"/>
    <w:basedOn w:val="Normalny"/>
    <w:uiPriority w:val="34"/>
    <w:qFormat/>
    <w:rsid w:val="009275CA"/>
    <w:pPr>
      <w:widowControl w:val="0"/>
      <w:autoSpaceDE w:val="0"/>
      <w:autoSpaceDN w:val="0"/>
      <w:adjustRightInd w:val="0"/>
      <w:spacing w:line="360" w:lineRule="auto"/>
      <w:ind w:left="720"/>
      <w:contextualSpacing/>
    </w:pPr>
    <w:rPr>
      <w:rFonts w:cs="Arial"/>
      <w:sz w:val="24"/>
    </w:rPr>
  </w:style>
  <w:style w:type="paragraph" w:styleId="Poprawka">
    <w:name w:val="Revision"/>
    <w:hidden/>
    <w:uiPriority w:val="99"/>
    <w:semiHidden/>
    <w:rsid w:val="00E47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07306">
      <w:bodyDiv w:val="1"/>
      <w:marLeft w:val="0"/>
      <w:marRight w:val="0"/>
      <w:marTop w:val="0"/>
      <w:marBottom w:val="0"/>
      <w:divBdr>
        <w:top w:val="none" w:sz="0" w:space="0" w:color="auto"/>
        <w:left w:val="none" w:sz="0" w:space="0" w:color="auto"/>
        <w:bottom w:val="none" w:sz="0" w:space="0" w:color="auto"/>
        <w:right w:val="none" w:sz="0" w:space="0" w:color="auto"/>
      </w:divBdr>
    </w:div>
    <w:div w:id="1582837657">
      <w:bodyDiv w:val="1"/>
      <w:marLeft w:val="0"/>
      <w:marRight w:val="0"/>
      <w:marTop w:val="0"/>
      <w:marBottom w:val="0"/>
      <w:divBdr>
        <w:top w:val="none" w:sz="0" w:space="0" w:color="auto"/>
        <w:left w:val="none" w:sz="0" w:space="0" w:color="auto"/>
        <w:bottom w:val="none" w:sz="0" w:space="0" w:color="auto"/>
        <w:right w:val="none" w:sz="0" w:space="0" w:color="auto"/>
      </w:divBdr>
    </w:div>
    <w:div w:id="18994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lkiniagorna.e-map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fg.pl/" TargetMode="External"/><Relationship Id="rId4" Type="http://schemas.openxmlformats.org/officeDocument/2006/relationships/settings" Target="settings.xml"/><Relationship Id="rId9" Type="http://schemas.openxmlformats.org/officeDocument/2006/relationships/hyperlink" Target="https://malkiniagorna.e-mapa.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RibbonX Visual Designer 2.31 for Microsoft Word CustomUI . XML Code produced on 2016-01-19-->
<customUI xmlns="http://schemas.microsoft.com/office/2009/07/customui">
  <ribbon>
    <tabs>
      <tab id="tab_iform" insertBeforeMso="TabHome" label="SignForm">
        <group idMso="GroupFont" visible="true"/>
        <group id="wypelnianie" label="Narzedzia">
          <button idMso="Copy" imageMso="Copy" size="large" label="Kopiuj"/>
          <button idMso="Paste" imageMso="Paste" size="large" label="Wklej"/>
          <separator id="Separator1"/>
          <button idMso="ProtectOrUnprotectDocument" imageMso="Lock" size="large" label="Ochrona"/>
          <separator id="Separator2"/>
          <button idMso="FileSave" size="large" label="Zapisz"/>
          <separator id="Separator3"/>
          <button idMso="FileClose" imageMso="WindowClose" size="large" label="Zamknij dokument"/>
          <separator id="Separator4"/>
        </group>
        <group id="resetowanie" label="Resetuj pola">
          <button idMso="FormFieldReset" imageMso="FormFieldReset" size="large" label="Wyczysc"/>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5C327-1901-448A-8E5D-0593231F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5570</Words>
  <Characters>33424</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Prospekt informacyjny dewelopera (dotyczy ustawy o ochronie praw nabywcy lokalu mieszkalnego lub domu jednorodzinnego)</vt:lpstr>
    </vt:vector>
  </TitlesOfParts>
  <Company>SignForm.pl sp. z o.o.</Company>
  <LinksUpToDate>false</LinksUpToDate>
  <CharactersWithSpaces>38917</CharactersWithSpaces>
  <SharedDoc>false</SharedDoc>
  <HyperlinkBase>www.iform.pl</HyperlinkBase>
  <HLinks>
    <vt:vector size="6" baseType="variant">
      <vt:variant>
        <vt:i4>7077941</vt:i4>
      </vt:variant>
      <vt:variant>
        <vt:i4>313</vt:i4>
      </vt:variant>
      <vt:variant>
        <vt:i4>0</vt:i4>
      </vt:variant>
      <vt:variant>
        <vt:i4>5</vt:i4>
      </vt:variant>
      <vt:variant>
        <vt:lpwstr>https://www.bfg.pl/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Prospekt informacyjny dewelopera (dotyczy ustawy o ochronie praw nabywcy lokalu mieszkalnego lub domu jednorodzinnego)</dc:title>
  <dc:subject>Deweloperzy</dc:subject>
  <dc:creator>Robert Borkowski</dc:creator>
  <cp:keywords>Prospekt informacyjny dewelopera</cp:keywords>
  <dc:description>Dz.U. 2024, poz. 695</dc:description>
  <cp:lastModifiedBy>Kamil Sadowski</cp:lastModifiedBy>
  <cp:revision>2</cp:revision>
  <cp:lastPrinted>2025-02-16T09:36:00Z</cp:lastPrinted>
  <dcterms:created xsi:type="dcterms:W3CDTF">2025-08-25T19:43:00Z</dcterms:created>
  <dcterms:modified xsi:type="dcterms:W3CDTF">2025-08-25T19:43:00Z</dcterms:modified>
  <cp:category>Deweloperzy</cp:category>
  <cp:contentStatus>Formularz obowiązujący od dnia 1 lipca 2021 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Doc">
    <vt:lpwstr>7825</vt:lpwstr>
  </property>
</Properties>
</file>